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64EBD" w:rsidRDefault="003F4BD0" w:rsidP="003F4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BD">
        <w:rPr>
          <w:rFonts w:ascii="Times New Roman" w:hAnsi="Times New Roman" w:cs="Times New Roman"/>
          <w:b/>
          <w:sz w:val="24"/>
          <w:szCs w:val="24"/>
        </w:rPr>
        <w:t>Северо-Западный экономический район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Северо-Западный экономический район включает 4 субъекта РФ: три области, один город федерального значения: Ленинградская область, Новгородская область, Псковская область, Санкт – Петербург. Самая крупная область в районе Ленинградская, занимает 43 % территории. На  экономико-географическое положение района существенно влияет его приморское положение, наличие крупных морских портов: Санкт - Петербург, Выборг. Район – это связующее звено между РФ и Европой. 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Через систему рек, каналов регион имеет выход к морям страны.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В Балтийское море  через Финский залив, в Белое,  Баренцево моря, через Онежское озеро, 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Беломоро-Балтийский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канал, в Каспийское море через Онежское озеро, Волго-Балтийский канал, Волгу, в Азовское, Чёрное моря,  через Волгу, Волго-Донской канал, Дон.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>ападный экономический район имеет внешние границы с Латвией, Эстонией, Белоруссией, Финляндией, внутри страны граничит с Центральным, Северным экономическими районами РФ.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Численность населения Северо-Западного экономического района:  8 788 939 человек (2023 год), средняя плотность населения района  пр</w:t>
      </w:r>
      <w:r w:rsidR="009D021D" w:rsidRPr="00364EBD">
        <w:rPr>
          <w:rFonts w:ascii="Times New Roman" w:hAnsi="Times New Roman" w:cs="Times New Roman"/>
          <w:sz w:val="24"/>
          <w:szCs w:val="24"/>
        </w:rPr>
        <w:t>евышает среднюю плотность по РФ. Р</w:t>
      </w:r>
      <w:r w:rsidRPr="00364EBD">
        <w:rPr>
          <w:rFonts w:ascii="Times New Roman" w:hAnsi="Times New Roman" w:cs="Times New Roman"/>
          <w:sz w:val="24"/>
          <w:szCs w:val="24"/>
        </w:rPr>
        <w:t xml:space="preserve">айон имеет высокий уровень урбанизации (доля городского населения: более 80%). </w:t>
      </w:r>
      <w:r w:rsidR="00461168" w:rsidRPr="00364EBD">
        <w:rPr>
          <w:rFonts w:ascii="Times New Roman" w:hAnsi="Times New Roman" w:cs="Times New Roman"/>
          <w:sz w:val="24"/>
          <w:szCs w:val="24"/>
        </w:rPr>
        <w:t xml:space="preserve">Национальный состав населения однороден, доля русских составляет около 90%. На востоке Ленинградской области проживают вепсы, на западе – </w:t>
      </w:r>
      <w:proofErr w:type="spellStart"/>
      <w:r w:rsidR="00461168" w:rsidRPr="00364EBD">
        <w:rPr>
          <w:rFonts w:ascii="Times New Roman" w:hAnsi="Times New Roman" w:cs="Times New Roman"/>
          <w:sz w:val="24"/>
          <w:szCs w:val="24"/>
        </w:rPr>
        <w:t>ижорцы</w:t>
      </w:r>
      <w:proofErr w:type="spellEnd"/>
      <w:r w:rsidR="00461168" w:rsidRPr="00364EBD">
        <w:rPr>
          <w:rFonts w:ascii="Times New Roman" w:hAnsi="Times New Roman" w:cs="Times New Roman"/>
          <w:sz w:val="24"/>
          <w:szCs w:val="24"/>
        </w:rPr>
        <w:t xml:space="preserve">, карелы и </w:t>
      </w:r>
      <w:proofErr w:type="spellStart"/>
      <w:r w:rsidR="00461168" w:rsidRPr="00364EBD">
        <w:rPr>
          <w:rFonts w:ascii="Times New Roman" w:hAnsi="Times New Roman" w:cs="Times New Roman"/>
          <w:sz w:val="24"/>
          <w:szCs w:val="24"/>
        </w:rPr>
        <w:t>водь</w:t>
      </w:r>
      <w:proofErr w:type="spellEnd"/>
      <w:r w:rsidR="00461168" w:rsidRPr="00364EBD">
        <w:rPr>
          <w:rFonts w:ascii="Times New Roman" w:hAnsi="Times New Roman" w:cs="Times New Roman"/>
          <w:sz w:val="24"/>
          <w:szCs w:val="24"/>
        </w:rPr>
        <w:t xml:space="preserve"> (немногочисленные представители народов финно-угорской группы уральской</w:t>
      </w:r>
      <w:r w:rsidRPr="00364EBD">
        <w:rPr>
          <w:rFonts w:ascii="Times New Roman" w:hAnsi="Times New Roman" w:cs="Times New Roman"/>
          <w:sz w:val="24"/>
          <w:szCs w:val="24"/>
        </w:rPr>
        <w:t xml:space="preserve"> семьи). Основная религия – это православие, малые народы исповедуют язычество. </w:t>
      </w:r>
      <w:r w:rsidR="00461168" w:rsidRPr="00364EBD">
        <w:rPr>
          <w:rFonts w:ascii="Times New Roman" w:hAnsi="Times New Roman" w:cs="Times New Roman"/>
          <w:sz w:val="24"/>
          <w:szCs w:val="24"/>
        </w:rPr>
        <w:t xml:space="preserve">В Печорском районе Псковской области живут сету – православные эстонцы. </w:t>
      </w:r>
      <w:r w:rsidRPr="00364EBD">
        <w:rPr>
          <w:rFonts w:ascii="Times New Roman" w:hAnsi="Times New Roman" w:cs="Times New Roman"/>
          <w:sz w:val="24"/>
          <w:szCs w:val="24"/>
        </w:rPr>
        <w:t>Особенностью на</w:t>
      </w:r>
      <w:r w:rsidRPr="00364EBD">
        <w:rPr>
          <w:rFonts w:ascii="Times New Roman" w:hAnsi="Times New Roman" w:cs="Times New Roman"/>
          <w:sz w:val="24"/>
          <w:szCs w:val="24"/>
        </w:rPr>
        <w:softHyphen/>
        <w:t xml:space="preserve">селения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является самый высокий коэффициент смертно</w:t>
      </w:r>
      <w:r w:rsidRPr="00364EBD">
        <w:rPr>
          <w:rFonts w:ascii="Times New Roman" w:hAnsi="Times New Roman" w:cs="Times New Roman"/>
          <w:sz w:val="24"/>
          <w:szCs w:val="24"/>
        </w:rPr>
        <w:softHyphen/>
        <w:t>сти и самые низкие коэффициенты рождаемости и естественного прирос</w:t>
      </w:r>
      <w:r w:rsidRPr="00364EBD">
        <w:rPr>
          <w:rFonts w:ascii="Times New Roman" w:hAnsi="Times New Roman" w:cs="Times New Roman"/>
          <w:sz w:val="24"/>
          <w:szCs w:val="24"/>
        </w:rPr>
        <w:softHyphen/>
        <w:t xml:space="preserve">та в России, повышенная (особенно в сельской местности) доля пожилых людей. Крупнейшими городами являются Великий Новгород, Псков, городом-миллионером - </w:t>
      </w:r>
      <w:r w:rsidR="00461168" w:rsidRPr="00364EB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64E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История Северо-</w:t>
      </w:r>
      <w:r w:rsidR="009D021D" w:rsidRPr="00364EBD">
        <w:rPr>
          <w:rFonts w:ascii="Times New Roman" w:hAnsi="Times New Roman" w:cs="Times New Roman"/>
          <w:sz w:val="24"/>
          <w:szCs w:val="24"/>
        </w:rPr>
        <w:t xml:space="preserve">Западного района – это </w:t>
      </w:r>
      <w:r w:rsidRPr="00364EBD">
        <w:rPr>
          <w:rFonts w:ascii="Times New Roman" w:hAnsi="Times New Roman" w:cs="Times New Roman"/>
          <w:sz w:val="24"/>
          <w:szCs w:val="24"/>
        </w:rPr>
        <w:t xml:space="preserve">неотъемлемая часть истории России, ее особенная страница.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Здесь возникли древние города (Псков, Ладога, Изборск, Великий Новгород), храмы, сформировался один из центров государственности, опыт существования городов – государств: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Новгородской (1136 – 1478 год),  Псковской республик (XII век – 1510 год</w:t>
      </w:r>
      <w:r w:rsidR="009D021D" w:rsidRPr="00364EBD">
        <w:rPr>
          <w:rFonts w:ascii="Times New Roman" w:hAnsi="Times New Roman" w:cs="Times New Roman"/>
          <w:sz w:val="24"/>
          <w:szCs w:val="24"/>
        </w:rPr>
        <w:t>), взаимодействия с Европой.</w:t>
      </w:r>
      <w:proofErr w:type="gramEnd"/>
      <w:r w:rsidR="009D021D" w:rsidRPr="00364EBD">
        <w:rPr>
          <w:rFonts w:ascii="Times New Roman" w:hAnsi="Times New Roman" w:cs="Times New Roman"/>
          <w:sz w:val="24"/>
          <w:szCs w:val="24"/>
        </w:rPr>
        <w:t xml:space="preserve"> Ч</w:t>
      </w:r>
      <w:r w:rsidRPr="00364EBD">
        <w:rPr>
          <w:rFonts w:ascii="Times New Roman" w:hAnsi="Times New Roman" w:cs="Times New Roman"/>
          <w:sz w:val="24"/>
          <w:szCs w:val="24"/>
        </w:rPr>
        <w:t>ерез торговые с</w:t>
      </w:r>
      <w:r w:rsidR="009D021D" w:rsidRPr="00364EBD">
        <w:rPr>
          <w:rFonts w:ascii="Times New Roman" w:hAnsi="Times New Roman" w:cs="Times New Roman"/>
          <w:sz w:val="24"/>
          <w:szCs w:val="24"/>
        </w:rPr>
        <w:t>вязи в рамках Ганзейского союза</w:t>
      </w:r>
      <w:r w:rsidRPr="00364EBD">
        <w:rPr>
          <w:rFonts w:ascii="Times New Roman" w:hAnsi="Times New Roman" w:cs="Times New Roman"/>
          <w:sz w:val="24"/>
          <w:szCs w:val="24"/>
        </w:rPr>
        <w:t xml:space="preserve"> складывалась неповторимая  культура, ее лучшие образцы просвещения, духовности, появились  первые школы, законы. Эти земли на протяжении веков отражали агрессию немецких, шведских, польско-литовских завоевателей, изменяя карту Российского государства,  в  историю которого вписаны имена защитников северо-западных рубежей: князей, обычных псковичей, новгородцев, мужественных жителей блокадного Ленинграда, советских воинов.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Суровые крепости северо-запада и сегодня восхищают своей суровой мощью,  простотой: Копорье, Иван – город, Шлиссельбург,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Корела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, псковский, новгородский кремли.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Северо-Западный экономический район расположен на Восточно-Европейской равнине, характер рельефа равнинный. Район находится в природной зоне тайги. Климат умеренно континентальный с теплым увлажненным летом,  суровой многоснежной зимой. 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Почвы района болотно-подзолистые,  серо-лесные, неплодородные,  кислые, что требует  мелиорации,  интенсификации сельскохозяйственных работ.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Северо-Западный экономический район имеет разноплановые природные ресурсы. Значительная часть территории (около 30%) располагается в лесной зоне (хвойные леса, смешанные леса).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Район богат водными ресурсами, около 7 тысяч озер (Ладожское, Онежское, Ильмень, Чудское, Псковское, Валдай), реки (Нева, Волхов, Свирь,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Но водные ресурсы неравномерное размещение по территории района, что приводит к проблемам водопотребления, экологии. В Ленинградской области насчитывается 1800 </w:t>
      </w:r>
      <w:r w:rsidRPr="00364EBD">
        <w:rPr>
          <w:rFonts w:ascii="Times New Roman" w:hAnsi="Times New Roman" w:cs="Times New Roman"/>
          <w:sz w:val="24"/>
          <w:szCs w:val="24"/>
        </w:rPr>
        <w:lastRenderedPageBreak/>
        <w:t>озёр. На границе с Карелией находится Ладожское озеро, являющееся одни</w:t>
      </w:r>
      <w:r w:rsidR="009D021D" w:rsidRPr="00364EBD">
        <w:rPr>
          <w:rFonts w:ascii="Times New Roman" w:hAnsi="Times New Roman" w:cs="Times New Roman"/>
          <w:sz w:val="24"/>
          <w:szCs w:val="24"/>
        </w:rPr>
        <w:t>м</w:t>
      </w:r>
      <w:r w:rsidRPr="00364EBD">
        <w:rPr>
          <w:rFonts w:ascii="Times New Roman" w:hAnsi="Times New Roman" w:cs="Times New Roman"/>
          <w:sz w:val="24"/>
          <w:szCs w:val="24"/>
        </w:rPr>
        <w:t xml:space="preserve"> из крупнейших в Европе. Значительная часть Ленинградской области заболочена.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Запасы полезных ископаемых района невелики, потребности в топливно-энергетических ресурсах (нефть, газ, уголь) обеспечиваются за счет их поставок  из других регионов. В Новгородской области ведется добыча торфа. Северо-Западный экономический район располагает большими запасами легкоплавких (месторождения в Новгородской области),  огнеупорных глин (11 месторождений).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На территории Ленинградской области </w:t>
      </w:r>
      <w:r w:rsidR="009D021D" w:rsidRPr="00364EBD">
        <w:rPr>
          <w:rFonts w:ascii="Times New Roman" w:hAnsi="Times New Roman" w:cs="Times New Roman"/>
          <w:sz w:val="24"/>
          <w:szCs w:val="24"/>
        </w:rPr>
        <w:t>добываются полезные ископаемые, такие как</w:t>
      </w:r>
      <w:r w:rsidRPr="00364EBD">
        <w:rPr>
          <w:rFonts w:ascii="Times New Roman" w:hAnsi="Times New Roman" w:cs="Times New Roman"/>
          <w:sz w:val="24"/>
          <w:szCs w:val="24"/>
        </w:rPr>
        <w:t xml:space="preserve"> гранит, песчано</w:t>
      </w:r>
      <w:r w:rsidR="009D021D" w:rsidRPr="00364EBD">
        <w:rPr>
          <w:rFonts w:ascii="Times New Roman" w:hAnsi="Times New Roman" w:cs="Times New Roman"/>
          <w:sz w:val="24"/>
          <w:szCs w:val="24"/>
        </w:rPr>
        <w:t xml:space="preserve">-гравийный материал. </w:t>
      </w:r>
      <w:proofErr w:type="gramStart"/>
      <w:r w:rsidR="009D021D" w:rsidRPr="00364EBD">
        <w:rPr>
          <w:rFonts w:ascii="Times New Roman" w:hAnsi="Times New Roman" w:cs="Times New Roman"/>
          <w:sz w:val="24"/>
          <w:szCs w:val="24"/>
        </w:rPr>
        <w:t>П</w:t>
      </w:r>
      <w:r w:rsidRPr="00364EBD">
        <w:rPr>
          <w:rFonts w:ascii="Times New Roman" w:hAnsi="Times New Roman" w:cs="Times New Roman"/>
          <w:sz w:val="24"/>
          <w:szCs w:val="24"/>
        </w:rPr>
        <w:t>рисутствуют месторождения бокситов (сырье для алюминиевой промышленности), известняков, доломитов, торфа, глины, песка, гипса, фосфоритов (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Кингисеппское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месторождение фосфатных руд), горючих сланцев.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Имеются запасы гранита, мрамора, кварцита, минеральных красок – охры, умбры, берлинской лазури (в районе Всеволожска), марганца, месторождения песка, сапропеля.</w:t>
      </w:r>
      <w:proofErr w:type="gramEnd"/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Новгородская область богата минеральными,  радоновыми источниками, лечебными грязями (курорт «Старая Русса»).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Северо-Западный экономический район имеет  высокий уровень экономического развития. Экономика района: деревообрабатывающая, цел</w:t>
      </w:r>
      <w:r w:rsidR="009D021D" w:rsidRPr="00364EBD">
        <w:rPr>
          <w:rFonts w:ascii="Times New Roman" w:hAnsi="Times New Roman" w:cs="Times New Roman"/>
          <w:sz w:val="24"/>
          <w:szCs w:val="24"/>
        </w:rPr>
        <w:t>люлозно-бумажная промышленность,</w:t>
      </w:r>
      <w:r w:rsidRPr="00364EBD">
        <w:rPr>
          <w:rFonts w:ascii="Times New Roman" w:hAnsi="Times New Roman" w:cs="Times New Roman"/>
          <w:sz w:val="24"/>
          <w:szCs w:val="24"/>
        </w:rPr>
        <w:t xml:space="preserve"> легкая,  пищевая промышленность,  топливно-энергетический комплекс, производство строительных материалов. Отрасли специализации:  машиностроение, цветная металлургия, химическая,  лёгкая промышленность.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Ведущая роль в специализации принадлежит машиностроительному комплексу, который является многопрофильным. </w:t>
      </w:r>
      <w:proofErr w:type="gramStart"/>
      <w:r w:rsidR="00461168" w:rsidRPr="00364EBD">
        <w:rPr>
          <w:rFonts w:ascii="Times New Roman" w:hAnsi="Times New Roman" w:cs="Times New Roman"/>
          <w:sz w:val="24"/>
          <w:szCs w:val="24"/>
        </w:rPr>
        <w:t xml:space="preserve">Железнодорожное </w:t>
      </w:r>
      <w:r w:rsidRPr="00364EBD">
        <w:rPr>
          <w:rFonts w:ascii="Times New Roman" w:hAnsi="Times New Roman" w:cs="Times New Roman"/>
          <w:sz w:val="24"/>
          <w:szCs w:val="24"/>
        </w:rPr>
        <w:t>машиностроение - Санкт-Петербург, э</w:t>
      </w:r>
      <w:r w:rsidR="00461168" w:rsidRPr="00364EBD">
        <w:rPr>
          <w:rFonts w:ascii="Times New Roman" w:hAnsi="Times New Roman" w:cs="Times New Roman"/>
          <w:sz w:val="24"/>
          <w:szCs w:val="24"/>
        </w:rPr>
        <w:t>нергетичес</w:t>
      </w:r>
      <w:r w:rsidRPr="00364EBD">
        <w:rPr>
          <w:rFonts w:ascii="Times New Roman" w:hAnsi="Times New Roman" w:cs="Times New Roman"/>
          <w:sz w:val="24"/>
          <w:szCs w:val="24"/>
        </w:rPr>
        <w:t>кое - Санкт-Петербург и Колпино, э</w:t>
      </w:r>
      <w:r w:rsidR="00461168" w:rsidRPr="00364EBD">
        <w:rPr>
          <w:rFonts w:ascii="Times New Roman" w:hAnsi="Times New Roman" w:cs="Times New Roman"/>
          <w:sz w:val="24"/>
          <w:szCs w:val="24"/>
        </w:rPr>
        <w:t>лектротехническое - Сан</w:t>
      </w:r>
      <w:r w:rsidRPr="00364EBD">
        <w:rPr>
          <w:rFonts w:ascii="Times New Roman" w:hAnsi="Times New Roman" w:cs="Times New Roman"/>
          <w:sz w:val="24"/>
          <w:szCs w:val="24"/>
        </w:rPr>
        <w:t>кт-Петербург и Великий Новгород, часовая – Петродворец, т</w:t>
      </w:r>
      <w:r w:rsidR="00461168" w:rsidRPr="00364EBD">
        <w:rPr>
          <w:rFonts w:ascii="Times New Roman" w:hAnsi="Times New Roman" w:cs="Times New Roman"/>
          <w:sz w:val="24"/>
          <w:szCs w:val="24"/>
        </w:rPr>
        <w:t>ра</w:t>
      </w:r>
      <w:r w:rsidRPr="00364EBD">
        <w:rPr>
          <w:rFonts w:ascii="Times New Roman" w:hAnsi="Times New Roman" w:cs="Times New Roman"/>
          <w:sz w:val="24"/>
          <w:szCs w:val="24"/>
        </w:rPr>
        <w:t>кторостроение - Санкт-Петербург, а</w:t>
      </w:r>
      <w:r w:rsidR="00461168" w:rsidRPr="00364EBD">
        <w:rPr>
          <w:rFonts w:ascii="Times New Roman" w:hAnsi="Times New Roman" w:cs="Times New Roman"/>
          <w:sz w:val="24"/>
          <w:szCs w:val="24"/>
        </w:rPr>
        <w:t>втосборка</w:t>
      </w:r>
      <w:r w:rsidRPr="00364EBD">
        <w:rPr>
          <w:rFonts w:ascii="Times New Roman" w:hAnsi="Times New Roman" w:cs="Times New Roman"/>
          <w:sz w:val="24"/>
          <w:szCs w:val="24"/>
        </w:rPr>
        <w:t xml:space="preserve"> - Всеволожск и Санкт-Петербург, а</w:t>
      </w:r>
      <w:r w:rsidR="00461168" w:rsidRPr="00364EBD">
        <w:rPr>
          <w:rFonts w:ascii="Times New Roman" w:hAnsi="Times New Roman" w:cs="Times New Roman"/>
          <w:sz w:val="24"/>
          <w:szCs w:val="24"/>
        </w:rPr>
        <w:t>виационная и ракетно-космическая техника, артиллерийское и стрелковое вооружение, танки, военные корабли, ради</w:t>
      </w:r>
      <w:r w:rsidRPr="00364EBD">
        <w:rPr>
          <w:rFonts w:ascii="Times New Roman" w:hAnsi="Times New Roman" w:cs="Times New Roman"/>
          <w:sz w:val="24"/>
          <w:szCs w:val="24"/>
        </w:rPr>
        <w:t xml:space="preserve">оэлектроника - Санкт-Петербург. </w:t>
      </w:r>
      <w:proofErr w:type="gramEnd"/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Крупнейший  промышленный центр, морской порт:  Санкт – Петербург.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В Санкт-Петербурге, Бокситогорске,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Волхово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расположились заводы, выплавляющие цветные металлы, фосфорные,  сложные удобрения производятся в Кингисеппе,  азотные, комплексные -  в Великом Новгороде.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В Северо-Западном районе заготавливается 35% древесины от общего объема по стране.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Электроэнергетика представлена разными  видами электростанций, но удовлетворяет лишь внутренние потребности региона. Самые крупные электроэнергетические предприятия: 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>,  Нарвская ГЭС, Ленинградская АЭС.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Химические предприятия производят синтетические смолы, резинотехнические изделия и шины («Красный треугольник»), удобрения, кислотные реактивы (Невский углекислотный завод), лакокрасочные изделия (завод «Невская палитра»), химико-фармацевтические препараты.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В комплексе отраслей лёгкой промышленности ведущее место занимает текстильная, кожевенно-обувная, фарфорофаянсовая промышленность. Центром текстильной и трикотажной промышленности является Санкт-</w:t>
      </w:r>
      <w:r w:rsidR="009D021D" w:rsidRPr="00364EBD">
        <w:rPr>
          <w:rFonts w:ascii="Times New Roman" w:hAnsi="Times New Roman" w:cs="Times New Roman"/>
          <w:sz w:val="24"/>
          <w:szCs w:val="24"/>
        </w:rPr>
        <w:t>Петербург. Л</w:t>
      </w:r>
      <w:r w:rsidRPr="00364EBD">
        <w:rPr>
          <w:rFonts w:ascii="Times New Roman" w:hAnsi="Times New Roman" w:cs="Times New Roman"/>
          <w:sz w:val="24"/>
          <w:szCs w:val="24"/>
        </w:rPr>
        <w:t>ьняная промышленность развита в Пскове, производство обуви в Санкт-Петербурге («Скороход»), фарфорофаянсовых изделий (Новгородская область).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В агропромышленном комплексе района центральное место занимает сельское хозяйство, выращиваются кормовые культуры, зерно, овощи, картофель, лен. Район ориентирован на молочно-мясное скотоводство, свиноводство, птицеводство. Сельскохозяйственные угодья занимают здесь более 1/3 территории земель.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Основной вид транспорта в районе: железнодорожный.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Регион специализируется на культурно-познавательном туризме. Уникальные памятники  истории, культуры, природы, удобная инфраструктура, обилие рекреационных </w:t>
      </w:r>
      <w:r w:rsidRPr="00364EBD">
        <w:rPr>
          <w:rFonts w:ascii="Times New Roman" w:hAnsi="Times New Roman" w:cs="Times New Roman"/>
          <w:sz w:val="24"/>
          <w:szCs w:val="24"/>
        </w:rPr>
        <w:lastRenderedPageBreak/>
        <w:t xml:space="preserve">ресурсов способствует тому, что Северо-Западный район  привлекателен для туристов всего мира. Красота природы, звон валдайских колоколов, деревянное зодчество северных сел, синева, глубина  озер, белые ночи Санкт-Петербурга,  архитектурные творения ушедших эпох, древнейшие города,  интересные традиции, фресковая живопись XII века, пушкинские места, всего лишь малая часть того, что вдохновляет посещать эти места снова. 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На территории Ленинградской области находится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Линдуловская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роща,   где можно увидеть старейшие (1738 год) в России и Европе искусственные насаждения лиственницы сибирской, деревья, посаженные во времена Петра I (1672 – 1725 год), «Зелёный пояс Славы», 1965 – 1968 год,  комплекс мемориальных сооружений на рубежах битвы за Ленинград 1941 - 1944 год, созданный с целью увековечить память его героических защитников.</w:t>
      </w:r>
      <w:proofErr w:type="gramEnd"/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На территории Северо-Западного экономического района находятся такие объекты культурного наследия, как Софийский собор, XI век, памятник «Тысячелетие России», 1862 год, Остромирово Евангелие, XI век, Церковь Спаса на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Нередице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, 1198 год,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Витославицы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, музей народного деревянного зодчества (Новгородская область),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Дворцово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– парковые ансамбли, шедевры архитектуры  XVIII – XIX веков: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Зимний дворец, Петергоф, Летний сад, Царское село, арка Главного штаба, Александрийский столб, Исаакиевский собор, «Медный всадник», храм Воскресения Христова  на крови, ростральные колонны, Казанский собор. </w:t>
      </w:r>
      <w:proofErr w:type="gramEnd"/>
    </w:p>
    <w:p w:rsidR="003F4BD0" w:rsidRPr="00364EBD" w:rsidRDefault="009D021D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Псковский </w:t>
      </w: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3F4BD0" w:rsidRPr="00364EBD">
        <w:rPr>
          <w:rFonts w:ascii="Times New Roman" w:hAnsi="Times New Roman" w:cs="Times New Roman"/>
          <w:sz w:val="24"/>
          <w:szCs w:val="24"/>
        </w:rPr>
        <w:t xml:space="preserve">одна из лучших русских крепостей  XVI века, территория, площадью в 215 га, 5 поясов каменных укреплений протяженностью 9 километров, 40 баше, 14 ворот, толщина стен: от 2 до 6 метров. На Псковской земле находится село Михайловское, усадьба Александра Сергеевича Пушкина (1799 – 1837 год), в </w:t>
      </w:r>
      <w:proofErr w:type="spellStart"/>
      <w:r w:rsidR="003F4BD0" w:rsidRPr="00364EBD">
        <w:rPr>
          <w:rFonts w:ascii="Times New Roman" w:hAnsi="Times New Roman" w:cs="Times New Roman"/>
          <w:sz w:val="24"/>
          <w:szCs w:val="24"/>
        </w:rPr>
        <w:t>Святогорском</w:t>
      </w:r>
      <w:proofErr w:type="spellEnd"/>
      <w:r w:rsidR="003F4BD0" w:rsidRPr="00364EBD">
        <w:rPr>
          <w:rFonts w:ascii="Times New Roman" w:hAnsi="Times New Roman" w:cs="Times New Roman"/>
          <w:sz w:val="24"/>
          <w:szCs w:val="24"/>
        </w:rPr>
        <w:t xml:space="preserve"> монастыре: могила поэта.</w:t>
      </w:r>
    </w:p>
    <w:p w:rsidR="003F4BD0" w:rsidRPr="00364EBD" w:rsidRDefault="003F4BD0" w:rsidP="003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В Великом Новгороде находится памятник «Тысячелетие России», 1862 год. Памятник поражает масштабностью замысла автора, 128 фигур. Его высота 15,7 метров, вес металла 100 тонн. Государство объявило о начале сбора денег на его сооружение от всех сословий населения (планировалось, что на это потребуется 500 тысяч рублей), недостающая сумма  выделена из государственной казны. Скульптор награждён орденом Святой Анны 3 степени,  премией в 3000 рублей, позже ему назначена пожизненная пенсия 1200 рублей в год.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Перед вами несколько утверждений. Для каждого утверждения сделайте отметку правильное ли оно или нет.</w:t>
      </w:r>
    </w:p>
    <w:tbl>
      <w:tblPr>
        <w:tblStyle w:val="a4"/>
        <w:tblW w:w="0" w:type="auto"/>
        <w:tblLook w:val="04A0"/>
      </w:tblPr>
      <w:tblGrid>
        <w:gridCol w:w="6629"/>
        <w:gridCol w:w="1417"/>
        <w:gridCol w:w="1525"/>
      </w:tblGrid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Кингисеппское</w:t>
            </w:r>
            <w:proofErr w:type="spell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фосфатных руд находится в Ленинградской области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Сету – это православные литовцы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Район является связующим звеном между РФ и Европой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транспорта морской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богат лесными ресурсами 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Ведущая роль в специализации принадлежит топливно-энергетическому комплексу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Охра – это минеральная краска 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Значительная часть Ленинградской области заболочена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Район находится в природной зоне тайги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6629" w:type="dxa"/>
          </w:tcPr>
          <w:p w:rsidR="003F4BD0" w:rsidRPr="00364EBD" w:rsidRDefault="003F4BD0" w:rsidP="003F4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Ижорцы</w:t>
            </w:r>
            <w:proofErr w:type="spell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и карелы – это представители индоевропейской языковой семьи</w:t>
            </w:r>
          </w:p>
        </w:tc>
        <w:tc>
          <w:tcPr>
            <w:tcW w:w="1417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F4BD0" w:rsidRPr="00364EBD" w:rsidRDefault="003F4BD0" w:rsidP="003F4B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Перед вами карта, где цифрами/цветом обозначены административные единицы Северо-</w:t>
      </w:r>
      <w:r w:rsidR="009D021D" w:rsidRPr="00364EBD">
        <w:rPr>
          <w:rFonts w:ascii="Times New Roman" w:hAnsi="Times New Roman" w:cs="Times New Roman"/>
          <w:sz w:val="24"/>
          <w:szCs w:val="24"/>
        </w:rPr>
        <w:t>Западного района. П</w:t>
      </w:r>
      <w:r w:rsidRPr="00364EBD">
        <w:rPr>
          <w:rFonts w:ascii="Times New Roman" w:hAnsi="Times New Roman" w:cs="Times New Roman"/>
          <w:sz w:val="24"/>
          <w:szCs w:val="24"/>
        </w:rPr>
        <w:t>одберите к каждой цифре памятник исторического наследия, упоминаемый в тексте, данные занесите в таблицу. Выберите в тексте предложение, которое объединило бы все указанные памятники исторического наследия.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3F4BD0" w:rsidRPr="00364EBD" w:rsidTr="003F4BD0">
        <w:tc>
          <w:tcPr>
            <w:tcW w:w="2500" w:type="pct"/>
          </w:tcPr>
          <w:p w:rsidR="003F4BD0" w:rsidRPr="00364EBD" w:rsidRDefault="003F4BD0" w:rsidP="003F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Номер административной единицы Северо-Западного района</w:t>
            </w:r>
          </w:p>
        </w:tc>
        <w:tc>
          <w:tcPr>
            <w:tcW w:w="2500" w:type="pct"/>
          </w:tcPr>
          <w:p w:rsidR="003F4BD0" w:rsidRPr="00364EBD" w:rsidRDefault="003F4BD0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3F4BD0" w:rsidRPr="00364EBD" w:rsidRDefault="003F4BD0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исторического наследия</w:t>
            </w:r>
          </w:p>
        </w:tc>
      </w:tr>
      <w:tr w:rsidR="003F4BD0" w:rsidRPr="00364EBD" w:rsidTr="003F4BD0"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</w:p>
        </w:tc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</w:p>
        </w:tc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D0" w:rsidRPr="00364EBD" w:rsidTr="003F4BD0"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  <w:tc>
          <w:tcPr>
            <w:tcW w:w="2500" w:type="pct"/>
          </w:tcPr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D0" w:rsidRPr="00364EBD" w:rsidRDefault="003F4BD0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82" w:rsidRPr="00364EBD" w:rsidRDefault="003F4BD0" w:rsidP="003F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7078" cy="3381301"/>
            <wp:effectExtent l="19050" t="0" r="4572" b="0"/>
            <wp:docPr id="5" name="Рисунок 1" descr="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348" cy="338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 Математическая грамотность</w:t>
      </w: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3F4BD0" w:rsidRPr="00364EBD" w:rsidRDefault="003F4BD0" w:rsidP="003F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Для Санкт-Петербурга, как населенного пункта, расположенного на высоте земной поверхности, близкой к уровню моря, нормальным считается атмосферное давление 755 миллиметров ртутного столба. Определите, какое атмосферное давление будет на высоте 1500 метров над Санкт-Петербургом, если известно, что атмосферное давление изменяется на 10 мм на каждые 100 м. Ответ запишите в виде числа.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F4BD0" w:rsidRPr="00364EBD" w:rsidRDefault="003F4BD0" w:rsidP="003F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BD0" w:rsidRPr="00364EBD" w:rsidRDefault="003F4BD0" w:rsidP="003F4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Туристическая фирма предлагает посетить дворцово-парковые ансамбли пригородов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анкт – Петербурга. Экскурсия длится 5 дней, стоимость на человека 4 тысячи рублей. Если экскурсию совершает группа, возможны скидки:  группа из 5 человек:  2 %, группа </w:t>
      </w:r>
      <w:r w:rsidRPr="00364EBD">
        <w:rPr>
          <w:rFonts w:ascii="Times New Roman" w:hAnsi="Times New Roman" w:cs="Times New Roman"/>
          <w:sz w:val="24"/>
          <w:szCs w:val="24"/>
        </w:rPr>
        <w:lastRenderedPageBreak/>
        <w:t>из 10 человек:  5%, группа более 10 человек: 7 %.  Сколько заплатит за эту экскурсию класс из 22 человек? Сколько денег получит фирма, организовавшая экскурсию?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F4BD0" w:rsidRPr="00364EBD" w:rsidRDefault="003F4BD0" w:rsidP="003F4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В каком из перечисленных городов 22 июня продолжительность светового дня наибольшая и почему?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А) Санкт-Петербург                          Б) Великий Новгород                            В) Псков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64E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461168" w:rsidRPr="00364EBD" w:rsidRDefault="00461168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BD0" w:rsidRPr="00364EBD" w:rsidRDefault="003F4BD0" w:rsidP="003F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Елена мечтала увидеть белые ночи в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>анкт – Петербурге, но прочитала в сети несколько комментариев,  что это небезопасно для здоровья. Какой из них  можно считать основополагающим, чтобы   назвать в качестве исчерпывающего аргумента для отказа для от поездки в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>анкт – Петербург?</w:t>
      </w:r>
    </w:p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А) сбиваются биоритмы в организме;</w:t>
      </w:r>
    </w:p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 Б) вырабатывается мелатонин; </w:t>
      </w:r>
    </w:p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 В) повышенная тревожность;  </w:t>
      </w:r>
    </w:p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 Г) ускоряется процесс старения; </w:t>
      </w:r>
    </w:p>
    <w:p w:rsidR="003F4BD0" w:rsidRPr="00364EBD" w:rsidRDefault="003F4BD0" w:rsidP="003F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Д) не вырабатывается мелатонин;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Е) обострение хронических заболеваний.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F4BD0" w:rsidRPr="00364EBD" w:rsidRDefault="003F4BD0" w:rsidP="003F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Семья из трех человек едет из Великого Новгорода в Санкт-Петербург. Можно ехать поездом, а можно – на своей машине. Билет на поезд на одного человека составляет</w:t>
      </w:r>
      <w:r w:rsidRPr="00364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4EBD">
        <w:rPr>
          <w:rFonts w:ascii="Times New Roman" w:hAnsi="Times New Roman" w:cs="Times New Roman"/>
          <w:sz w:val="24"/>
          <w:szCs w:val="24"/>
        </w:rPr>
        <w:t xml:space="preserve">1 191 рубль. Автомобиль расходует 8 литров бензина на 100 км пути, расстояние по шоссе равно 166 км. Цена бензина равна 51 рубль 95 копеек за литр. Сколько рублей </w:t>
      </w:r>
      <w:r w:rsidR="009D021D" w:rsidRPr="00364EBD">
        <w:rPr>
          <w:rFonts w:ascii="Times New Roman" w:hAnsi="Times New Roman" w:cs="Times New Roman"/>
          <w:sz w:val="24"/>
          <w:szCs w:val="24"/>
        </w:rPr>
        <w:t>необходимо</w:t>
      </w:r>
      <w:r w:rsidRPr="00364EBD">
        <w:rPr>
          <w:rFonts w:ascii="Times New Roman" w:hAnsi="Times New Roman" w:cs="Times New Roman"/>
          <w:sz w:val="24"/>
          <w:szCs w:val="24"/>
        </w:rPr>
        <w:t xml:space="preserve"> заплатить за наиболее дешёвую поездку? 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4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116840</wp:posOffset>
            </wp:positionV>
            <wp:extent cx="1285240" cy="2867025"/>
            <wp:effectExtent l="819150" t="0" r="791210" b="0"/>
            <wp:wrapNone/>
            <wp:docPr id="13" name="Рисунок 2" descr="5R_97_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_97_r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524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Найдите в тексте строчку, где речь идет об экономическом понятии, которое  представлено  данной иллюстрацией, назовите его. Какую функцию из его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>, выполняет указанное вами понятие, исходя из содержания текста, в котором оно упоминается.</w:t>
      </w:r>
    </w:p>
    <w:p w:rsidR="00461168" w:rsidRPr="00364EBD" w:rsidRDefault="00461168" w:rsidP="00461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68" w:rsidRPr="00364EBD" w:rsidRDefault="00461168" w:rsidP="00461168">
      <w:pPr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Одним из возможных последствий глобальных изменений климата учёные считают повышение уровня Мирового океана. Какой город Северо-Западного экономического района в наибольшей степени может пострадать в случае такого развития событий и почему?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9027EA"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4611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027EA"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461168" w:rsidRPr="00364EBD" w:rsidRDefault="00461168" w:rsidP="0046116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64EBD">
        <w:rPr>
          <w:rFonts w:eastAsiaTheme="minorHAnsi"/>
          <w:lang w:eastAsia="en-US"/>
        </w:rPr>
        <w:t xml:space="preserve">На одном из памятников  культурно – исторического наследия, упоминаемых в тексте, нет исторической личности Ивана IV (1530 – 1584 год). Авторы сделали это намеренно. Что это за памятник?  Где он находится? Какие аргументы вы можете привести в пользу того, </w:t>
      </w:r>
    </w:p>
    <w:p w:rsidR="00461168" w:rsidRPr="00364EBD" w:rsidRDefault="00461168" w:rsidP="0046116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64EBD">
        <w:rPr>
          <w:rFonts w:eastAsiaTheme="minorHAnsi"/>
          <w:lang w:eastAsia="en-US"/>
        </w:rPr>
        <w:t>что  это:  А) верное решение; Б) неверное решение;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461168" w:rsidRPr="00364EBD" w:rsidTr="00461168">
        <w:tc>
          <w:tcPr>
            <w:tcW w:w="2500" w:type="pct"/>
          </w:tcPr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64EBD">
              <w:rPr>
                <w:b/>
              </w:rPr>
              <w:t>Аргумент «за»</w:t>
            </w:r>
          </w:p>
        </w:tc>
        <w:tc>
          <w:tcPr>
            <w:tcW w:w="2500" w:type="pct"/>
          </w:tcPr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64EBD">
              <w:rPr>
                <w:b/>
              </w:rPr>
              <w:t>Аргумент «против»</w:t>
            </w:r>
          </w:p>
        </w:tc>
      </w:tr>
      <w:tr w:rsidR="00461168" w:rsidRPr="00364EBD" w:rsidTr="00461168">
        <w:tc>
          <w:tcPr>
            <w:tcW w:w="2500" w:type="pct"/>
          </w:tcPr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00" w:type="pct"/>
          </w:tcPr>
          <w:p w:rsidR="00461168" w:rsidRPr="00364EBD" w:rsidRDefault="00461168" w:rsidP="009058C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Иван обучается в 11 классе и в дальнейшем планирует поступить в один из университетов, чтобы в дальнейшем закрепиться работать на Ленинградской АЭС. Назовите не менее 10 профессий в атомной отрасли, на которые может выучиться Иван.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  <w:r w:rsidR="00364EBD">
        <w:rPr>
          <w:rFonts w:ascii="Times New Roman" w:hAnsi="Times New Roman" w:cs="Times New Roman"/>
          <w:sz w:val="24"/>
          <w:szCs w:val="24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61168" w:rsidRPr="00364EBD" w:rsidRDefault="00461168" w:rsidP="004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68" w:rsidRPr="00364EBD" w:rsidRDefault="00461168" w:rsidP="0046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BD">
        <w:rPr>
          <w:rFonts w:ascii="Times New Roman" w:hAnsi="Times New Roman" w:cs="Times New Roman"/>
          <w:b/>
          <w:sz w:val="24"/>
          <w:szCs w:val="24"/>
        </w:rPr>
        <w:t>Задание № 12</w:t>
      </w:r>
    </w:p>
    <w:p w:rsidR="00461168" w:rsidRPr="00364EBD" w:rsidRDefault="00461168" w:rsidP="003F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Составьте с опорой на текст инструкцию по технике безопасности для туристов, желающих посетить Северо-Западный экономический район с учетом всех возможных рисков.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  <w:r w:rsidR="00364EBD">
        <w:rPr>
          <w:rFonts w:ascii="Times New Roman" w:hAnsi="Times New Roman" w:cs="Times New Roman"/>
          <w:sz w:val="24"/>
          <w:szCs w:val="24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61168" w:rsidRPr="00364EBD" w:rsidRDefault="00461168" w:rsidP="00461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64EBD" w:rsidRDefault="00364EBD" w:rsidP="009D0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1D" w:rsidRPr="00364EBD" w:rsidRDefault="009D021D" w:rsidP="009D0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природа, население, экономика Северо-Западного района, чтение на соотнесение текстового материала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  информацию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 задания: низкий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 структурные единицы  информации.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5 баллов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303830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элемент ответа по 0,5 балла </w:t>
            </w:r>
          </w:p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211"/>
              <w:gridCol w:w="993"/>
              <w:gridCol w:w="1138"/>
            </w:tblGrid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Кингисеппское</w:t>
                  </w:r>
                  <w:proofErr w:type="spellEnd"/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месторождение фосфатных руд находится в Ленинградской области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Сету – это православные литовцы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 является связующим звеном между РФ и Европой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Основной вид транспорта морской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 богат лесными ресурсами 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 роль в специализации принадлежит топливно-энергетическому комплексу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 – это минеральная краска 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Значительная часть Ленинградской области заболочена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 находится в природной зоне тайги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027EA" w:rsidRPr="00364EBD" w:rsidTr="00303830">
              <w:tc>
                <w:tcPr>
                  <w:tcW w:w="5211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Ижорцы</w:t>
                  </w:r>
                  <w:proofErr w:type="spellEnd"/>
                  <w:r w:rsidRPr="00364E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карелы – это представители индоевропейской языковой семьи</w:t>
                  </w:r>
                </w:p>
              </w:tc>
              <w:tc>
                <w:tcPr>
                  <w:tcW w:w="993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</w:tcPr>
                <w:p w:rsidR="009027EA" w:rsidRPr="00364EBD" w:rsidRDefault="009027EA" w:rsidP="0030383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элемент ответа по 0,5 балла </w:t>
            </w:r>
          </w:p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В зависимости от правильного выбора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графического, текстового материала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  информацию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 структурные единицы  информации.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4 балла.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</w:t>
            </w:r>
            <w:proofErr w:type="gramStart"/>
            <w:r w:rsidRPr="00364EBD">
              <w:t>Верно</w:t>
            </w:r>
            <w:proofErr w:type="gramEnd"/>
            <w:r w:rsidRPr="00364EBD">
              <w:t xml:space="preserve"> соотнесены памятники с субъектами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Северо-Западного экономического района,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указанного на карте (памятник – субъект, всего 3 памятника)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1. Псковская область: Псковский </w:t>
            </w:r>
            <w:proofErr w:type="spellStart"/>
            <w:r w:rsidRPr="00364EBD">
              <w:t>кром</w:t>
            </w:r>
            <w:proofErr w:type="spellEnd"/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2. Ленинградская область: </w:t>
            </w:r>
            <w:proofErr w:type="spellStart"/>
            <w:r w:rsidRPr="00364EBD">
              <w:t>Дворцово</w:t>
            </w:r>
            <w:proofErr w:type="spellEnd"/>
            <w:r w:rsidRPr="00364EBD">
              <w:t xml:space="preserve"> – парковые ансамбли, Зимний </w:t>
            </w:r>
            <w:r w:rsidRPr="00364EBD">
              <w:lastRenderedPageBreak/>
              <w:t xml:space="preserve">дворец, Петергоф, Летний сад, Царское село,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арка Главного штаба, Александрийский столб,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Исаакиевский собор, «Медный всадник», храм Воскресения Христова  на крови, ростральные колонны, Казанский собор.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3. Новгородская область: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Церковь Спаса на </w:t>
            </w:r>
            <w:proofErr w:type="spellStart"/>
            <w:r w:rsidRPr="00364EBD">
              <w:t>Нередице</w:t>
            </w:r>
            <w:proofErr w:type="spellEnd"/>
            <w:r w:rsidRPr="00364EBD">
              <w:t xml:space="preserve">, 1198 год, </w:t>
            </w:r>
            <w:proofErr w:type="spellStart"/>
            <w:r w:rsidRPr="00364EBD">
              <w:t>Витославицы</w:t>
            </w:r>
            <w:proofErr w:type="spellEnd"/>
            <w:r w:rsidRPr="00364EBD">
              <w:t xml:space="preserve">,   Софийский собор,  «Тысячелетие России»,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Остромирово Евангелие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Указано предложение, которое объединяет 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все указанные памятники исторического наследия.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экономического района находятся такие объекты культурного наследия, как…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364EBD">
              <w:t>Верно</w:t>
            </w:r>
            <w:proofErr w:type="gramEnd"/>
            <w:r w:rsidRPr="00364EBD">
              <w:t xml:space="preserve"> соотнесены памятники с субъектами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364EBD">
              <w:t>Северо</w:t>
            </w:r>
            <w:proofErr w:type="spellEnd"/>
            <w:r w:rsidRPr="00364EBD">
              <w:t xml:space="preserve"> </w:t>
            </w:r>
            <w:proofErr w:type="gramStart"/>
            <w:r w:rsidRPr="00364EBD">
              <w:t>-З</w:t>
            </w:r>
            <w:proofErr w:type="gramEnd"/>
            <w:r w:rsidRPr="00364EBD">
              <w:t>ападного экономического района,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указанного на карте (памятник – субъект,  3 памятника)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364EBD">
              <w:t>Верно</w:t>
            </w:r>
            <w:proofErr w:type="gramEnd"/>
            <w:r w:rsidRPr="00364EBD">
              <w:t xml:space="preserve"> соотнесены памятники с субъектами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364EBD">
              <w:t>Северо</w:t>
            </w:r>
            <w:proofErr w:type="spellEnd"/>
            <w:r w:rsidRPr="00364EBD">
              <w:t xml:space="preserve"> </w:t>
            </w:r>
            <w:proofErr w:type="gramStart"/>
            <w:r w:rsidRPr="00364EBD">
              <w:t>-З</w:t>
            </w:r>
            <w:proofErr w:type="gramEnd"/>
            <w:r w:rsidRPr="00364EBD">
              <w:t>ападного экономического района,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указанного на карте (памятник – субъект, 2  памятника)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364EBD">
              <w:t>Верно</w:t>
            </w:r>
            <w:proofErr w:type="gramEnd"/>
            <w:r w:rsidRPr="00364EBD">
              <w:t xml:space="preserve"> соотнесены памятники с субъектами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364EBD">
              <w:t>Северо</w:t>
            </w:r>
            <w:proofErr w:type="spellEnd"/>
            <w:r w:rsidRPr="00364EBD">
              <w:t xml:space="preserve"> </w:t>
            </w:r>
            <w:proofErr w:type="gramStart"/>
            <w:r w:rsidRPr="00364EBD">
              <w:t>-З</w:t>
            </w:r>
            <w:proofErr w:type="gramEnd"/>
            <w:r w:rsidRPr="00364EBD">
              <w:t>ападного экономического района,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</w:t>
            </w:r>
            <w:proofErr w:type="gramStart"/>
            <w:r w:rsidRPr="00364EBD">
              <w:t>указанного</w:t>
            </w:r>
            <w:proofErr w:type="gramEnd"/>
            <w:r w:rsidRPr="00364EBD">
              <w:t xml:space="preserve"> на карте (памятник – субъект, 1 памятник),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либо: указано предложение, которое объединяет  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все указанные памятники исторического наследия.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задания. 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область: расчёт атмосферного давления как одного из климатического показателя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область: использование информации для расчета  числовых значений.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сложности: низкий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Формат ответа: краткий ответ, содержащий верный  расчет данных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задачи, понимать </w:t>
      </w:r>
      <w:proofErr w:type="spellStart"/>
      <w:r w:rsidRPr="00364EBD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информацию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1 балл.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303830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Ответ: 605 </w:t>
            </w:r>
            <w:proofErr w:type="spell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(давление с высотой понижается)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Ответ отсутствует, дан неверный ответ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Содержательная область: расчёт прибыли от рекреационного туризма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область: использование информации для расчета  числовых значений.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задание с кратким ответом на вопрос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Объект оценки: расчёты с извлечением данных из текста, вычисления с числами, сравнение величин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Указан верный ответ: </w:t>
            </w:r>
          </w:p>
          <w:p w:rsidR="009027EA" w:rsidRPr="00364EBD" w:rsidRDefault="009027E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440 тысяч получит фирма, </w:t>
            </w:r>
          </w:p>
          <w:p w:rsidR="009027EA" w:rsidRPr="00364EBD" w:rsidRDefault="009027E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если класс из 22 двух человек купит тур без скидок,</w:t>
            </w:r>
          </w:p>
          <w:p w:rsidR="009027EA" w:rsidRPr="00364EBD" w:rsidRDefault="009027E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скидка (7 % от 440 тысяч): 31 тысяча,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фирма получит прибыль: 409 тысяч,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приводится объяснение расчетов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Указаны верные ответы, объяснение расчетов не приводится 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Дан ответ только на один вопрос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Ответ не дан, ответ неверный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акцентирования  фактов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образовательный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Формат ответа:    задание с выбором верного ответа и пояснение выбранного ответа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Объект оценки: акцентирование фактов,  отделение главного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второстепенного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303830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Назван город, приведено обоснование</w:t>
            </w:r>
          </w:p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Санкт-Петербург. Продолжительность светового дня 22 июня увеличивается к северу. Следовательно, в городе с наибольшим значением широты и будет самый продолжительный день</w:t>
            </w:r>
            <w:r w:rsidRPr="00364E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Назван город, нет обоснования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Ответ не дан, ответ неверный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акцентирования  фактов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   задание с выбором верного ответа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Объект оценки: акцентирование фактов,  отделение главного </w:t>
      </w:r>
      <w:proofErr w:type="gramStart"/>
      <w:r w:rsidRPr="00364E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4EBD">
        <w:rPr>
          <w:rFonts w:ascii="Times New Roman" w:hAnsi="Times New Roman" w:cs="Times New Roman"/>
          <w:sz w:val="24"/>
          <w:szCs w:val="24"/>
        </w:rPr>
        <w:t xml:space="preserve"> второстепенного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1 балла.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Указан верный ответ: А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Ответ неверный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финансовая информация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решение задачи на основе анализа текстовой информации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Уровень:  низкий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краткий ответ, содержащий верный  расчет данных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r w:rsidRPr="00364EBD">
        <w:rPr>
          <w:rFonts w:ascii="Times New Roman" w:eastAsia="Times New Roman" w:hAnsi="Times New Roman" w:cs="Times New Roman"/>
          <w:sz w:val="24"/>
          <w:szCs w:val="24"/>
        </w:rPr>
        <w:t>умение производить расчёты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1 балл.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303830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90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90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Поезд – 3573 руб. за трех человек</w:t>
            </w:r>
          </w:p>
          <w:p w:rsidR="009027EA" w:rsidRPr="00364EBD" w:rsidRDefault="009027EA" w:rsidP="0090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Машина - 13,26 литров на 166 км. Итого 688,857 руб. </w:t>
            </w:r>
          </w:p>
          <w:p w:rsidR="009027EA" w:rsidRPr="00364EBD" w:rsidRDefault="009027EA" w:rsidP="0090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За наиболее дешёвую поездку необходимо заплатить 688,857 руб. </w:t>
            </w:r>
          </w:p>
        </w:tc>
      </w:tr>
      <w:tr w:rsidR="009027EA" w:rsidRPr="00364EBD" w:rsidTr="00303830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Ответ не дан, ответ неверный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финансовая информация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 характеристика финансовых понятий на основе анализа текстовой, иллюстративной   информации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Формат ответа: задание с развернутым ответом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4EBD">
        <w:rPr>
          <w:rFonts w:ascii="Times New Roman" w:hAnsi="Times New Roman" w:cs="Times New Roman"/>
          <w:sz w:val="24"/>
          <w:szCs w:val="24"/>
        </w:rPr>
        <w:t>Объект оценки: финансовые понятия, их специфика с опорой на текстовый, иллюстративный  источники</w:t>
      </w:r>
      <w:proofErr w:type="gramEnd"/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Указана строчка текста,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А) где речь идет об экономическом понятии,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</w:t>
            </w:r>
            <w:proofErr w:type="gramStart"/>
            <w:r w:rsidRPr="00364EBD">
              <w:t>которое</w:t>
            </w:r>
            <w:proofErr w:type="gramEnd"/>
            <w:r w:rsidRPr="00364EBD">
              <w:t xml:space="preserve">  представлено  данной иллюстрацией,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Понятие: деньги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государство объявило о начале сбора денег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на его сооружение от всех сословий населения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(планировалось, что на это потребуется 500 тысяч рублей), недостающая сумма  выделена из государственной казны.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Б) функция, которую выполняет указанное  понятие,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содержания текста, в котором оно упоминается.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Деньги – средство платежа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 награждён премией в 3000 рублей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Деньги – средство накопления: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«государство объявило о начале сбора денег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на его сооружение от всех сословий населения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(планировалось, что на это потребуется 500 тысяч рублей), недостающая сумма  выделена из государственной казны»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Указана строчка текста,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 где речь идет об экономическом понятии,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 xml:space="preserve"> </w:t>
            </w:r>
            <w:proofErr w:type="gramStart"/>
            <w:r w:rsidRPr="00364EBD">
              <w:t>которое</w:t>
            </w:r>
            <w:proofErr w:type="gramEnd"/>
            <w:r w:rsidRPr="00364EBD">
              <w:t xml:space="preserve">  представлено  данной иллюстрацией,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либо: функция, которую выполняет указанное  понятие,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содержания текста, в котором оно упоминается.</w:t>
            </w:r>
          </w:p>
        </w:tc>
      </w:tr>
      <w:tr w:rsidR="009027EA" w:rsidRPr="00364EBD" w:rsidTr="009027EA">
        <w:tc>
          <w:tcPr>
            <w:tcW w:w="1668" w:type="dxa"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Ответ неверный, ответа нет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научное объяснение последствий глобального изменения климата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Контекст: общественный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 задания: высокий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развёрнутый ответ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Объект оценки:</w:t>
      </w: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объяснять </w:t>
      </w:r>
      <w:proofErr w:type="spellStart"/>
      <w:r w:rsidRPr="00364EBD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информацию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Максимальный балл: 2 балла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Критерии оценивания 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7762"/>
      </w:tblGrid>
      <w:tr w:rsidR="009027EA" w:rsidRPr="00364EBD" w:rsidTr="009027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 уровня Мирового океана серьезное последствие изменения климата. Возможные сценарии повышения уровня моря в зависимости от выбросов парниковых газов. Таяние покровных ледников приведёт к повышению уровня вод Мирового океана, следовательно,  в  </w:t>
            </w:r>
            <w:proofErr w:type="spellStart"/>
            <w:proofErr w:type="gramStart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наиболь-шей</w:t>
            </w:r>
            <w:proofErr w:type="spellEnd"/>
            <w:proofErr w:type="gramEnd"/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 степени пострадают те города, которые находятся в прибрежной зоне. Это город Санкт-Петербург </w:t>
            </w:r>
          </w:p>
        </w:tc>
      </w:tr>
      <w:tr w:rsidR="009027EA" w:rsidRPr="00364EBD" w:rsidTr="009027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Назван город, объяснение не приводится</w:t>
            </w:r>
          </w:p>
        </w:tc>
      </w:tr>
      <w:tr w:rsidR="009027EA" w:rsidRPr="00364EBD" w:rsidTr="009027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64EBD">
              <w:t>Ответ неверный, ответа нет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 культурное пространство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аргументация   фактов, целесообразность принятых решений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Уровень: средний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Формат ответа: задание с развернутым ответом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Объект оценки: привести аргумент, поясняющий факт, целесообразность  решения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Максимальный балл: 4 балла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название памятника «Тысячелетие России», место его нахождения «Великий Новгород»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 аргумент «за»,  аргумент «против»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038"/>
              <w:gridCol w:w="3508"/>
            </w:tblGrid>
            <w:tr w:rsidR="009027EA" w:rsidRPr="00364EBD" w:rsidTr="00303830">
              <w:tc>
                <w:tcPr>
                  <w:tcW w:w="2038" w:type="dxa"/>
                </w:tcPr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 «за»</w:t>
                  </w:r>
                </w:p>
              </w:tc>
              <w:tc>
                <w:tcPr>
                  <w:tcW w:w="3508" w:type="dxa"/>
                </w:tcPr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 «против»</w:t>
                  </w:r>
                </w:p>
              </w:tc>
            </w:tr>
            <w:tr w:rsidR="009027EA" w:rsidRPr="00364EBD" w:rsidTr="00303830">
              <w:tc>
                <w:tcPr>
                  <w:tcW w:w="2038" w:type="dxa"/>
                </w:tcPr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Царь уничтожил во время опричнины население Новгорода, </w:t>
                  </w:r>
                </w:p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усилил закрепощение крестьян</w:t>
                  </w:r>
                </w:p>
              </w:tc>
              <w:tc>
                <w:tcPr>
                  <w:tcW w:w="3508" w:type="dxa"/>
                </w:tcPr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Царь  существенно расширил границы российского государства, основал ряд городов, </w:t>
                  </w:r>
                </w:p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ликвидировал остатки </w:t>
                  </w:r>
                </w:p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Золотой Орды, </w:t>
                  </w:r>
                </w:p>
                <w:p w:rsidR="009027EA" w:rsidRPr="00364EBD" w:rsidRDefault="009027EA" w:rsidP="009027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обезопасив границы России</w:t>
                  </w:r>
                </w:p>
              </w:tc>
            </w:tr>
          </w:tbl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название памятника, место его нахождения приведен аргумент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Указано название памятника, место его нахождения,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Либо:  приведены аргументы «за», «против»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Указано название памятника, либо:  место его нахождения,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либо:  приведены один из аргументов «за», «против»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неверный, не соответствует требованиям задания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профориентация </w:t>
      </w:r>
    </w:p>
    <w:p w:rsidR="009027EA" w:rsidRPr="00364EBD" w:rsidRDefault="009027EA" w:rsidP="0090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название профессий, связанных с АЭС</w:t>
      </w:r>
    </w:p>
    <w:p w:rsidR="009027EA" w:rsidRPr="00364EBD" w:rsidRDefault="009027EA" w:rsidP="0090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Контекст: общественный 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Уровень сложности: высокий </w:t>
      </w:r>
    </w:p>
    <w:p w:rsidR="009027EA" w:rsidRPr="00364EBD" w:rsidRDefault="009027EA" w:rsidP="0090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 xml:space="preserve">Формат ответа: перечень профессий </w:t>
      </w:r>
    </w:p>
    <w:p w:rsidR="009027EA" w:rsidRPr="00364EBD" w:rsidRDefault="009027EA" w:rsidP="0090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Объект оценки: понимание линии «предприятие – профессия»</w:t>
      </w:r>
    </w:p>
    <w:p w:rsidR="009027EA" w:rsidRPr="00364EBD" w:rsidRDefault="009027EA" w:rsidP="0090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Максимальный балл: 5 баллов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9027EA" w:rsidRPr="00364EBD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64EBD">
              <w:rPr>
                <w:lang w:eastAsia="en-US"/>
              </w:rPr>
              <w:t>За каждую названную профессию по 0,5 балла</w:t>
            </w:r>
          </w:p>
          <w:p w:rsidR="009027EA" w:rsidRPr="00364EBD" w:rsidRDefault="009027EA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364EBD">
              <w:rPr>
                <w:lang w:eastAsia="en-US"/>
              </w:rPr>
              <w:t>Примерный перечень: промышленный дизайнер, инженер-</w:t>
            </w:r>
            <w:r w:rsidRPr="00364EBD">
              <w:rPr>
                <w:lang w:eastAsia="en-US"/>
              </w:rPr>
              <w:lastRenderedPageBreak/>
              <w:t xml:space="preserve">проектировщик, инженер-исследователь, инженер проекта, инженер-технолог, астрофизик, радиохимик, инженер-конструктор, </w:t>
            </w:r>
            <w:proofErr w:type="spellStart"/>
            <w:r w:rsidRPr="00364EBD">
              <w:rPr>
                <w:lang w:eastAsia="en-US"/>
              </w:rPr>
              <w:t>дефектоскопист</w:t>
            </w:r>
            <w:proofErr w:type="spellEnd"/>
            <w:r w:rsidRPr="00364EBD">
              <w:rPr>
                <w:lang w:eastAsia="en-US"/>
              </w:rPr>
              <w:t xml:space="preserve">, оператор блочного пульта управления, оператор робототехнических систем, проектировщик </w:t>
            </w:r>
            <w:proofErr w:type="spellStart"/>
            <w:r w:rsidRPr="00364EBD">
              <w:rPr>
                <w:lang w:eastAsia="en-US"/>
              </w:rPr>
              <w:t>энергонакопителей</w:t>
            </w:r>
            <w:proofErr w:type="spellEnd"/>
            <w:r w:rsidRPr="00364EBD">
              <w:rPr>
                <w:lang w:eastAsia="en-US"/>
              </w:rPr>
              <w:t>, лаборант</w:t>
            </w:r>
            <w:proofErr w:type="gramEnd"/>
          </w:p>
        </w:tc>
      </w:tr>
      <w:tr w:rsidR="009027EA" w:rsidRPr="00364EBD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элемент ответа по 0,5 балла </w:t>
            </w:r>
          </w:p>
          <w:p w:rsidR="009027EA" w:rsidRPr="00364EBD" w:rsidRDefault="009027EA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hAnsi="Times New Roman" w:cs="Times New Roman"/>
                <w:sz w:val="24"/>
                <w:szCs w:val="24"/>
              </w:rPr>
              <w:t>В зависимости от правильного выбора</w:t>
            </w:r>
          </w:p>
        </w:tc>
      </w:tr>
    </w:tbl>
    <w:p w:rsidR="009027EA" w:rsidRPr="00364EBD" w:rsidRDefault="009027EA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выдвижение идей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EBD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трансформация  информации, отбор идей с использование текста 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Уровень сложности: высокий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Формат ответа: создана инструкция по технике безопасности для туристов с использование текстовых данных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Объект оценки: содержательность  инструкции с учетом текстовой информации.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>Максимальный балл: 2 балла.</w:t>
      </w: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инструкция по технике безопасности для туристов,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которой содержательно отражены особенности </w:t>
            </w:r>
            <w:proofErr w:type="gramEnd"/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Западного экономического района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(риски, преимущества  его посещения  туристами), упоминаемые в тексте.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В инструкции должны быть отражены такие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содержательные линии: купание в водоемах,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отношение к культурным, природным объектам,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инструкция по технике безопасности для туристов,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опоры на текст </w:t>
            </w:r>
          </w:p>
        </w:tc>
      </w:tr>
      <w:tr w:rsidR="009027EA" w:rsidRPr="00364EBD" w:rsidTr="009027EA">
        <w:tc>
          <w:tcPr>
            <w:tcW w:w="1809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9027EA" w:rsidRPr="00364EBD" w:rsidRDefault="009027EA" w:rsidP="0090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</w:tc>
      </w:tr>
    </w:tbl>
    <w:p w:rsidR="009D021D" w:rsidRPr="00364EBD" w:rsidRDefault="009D021D" w:rsidP="009D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7EA" w:rsidRPr="00364EBD" w:rsidRDefault="009027EA" w:rsidP="0090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27EA" w:rsidRPr="00364EBD" w:rsidSect="003A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67"/>
    <w:multiLevelType w:val="multilevel"/>
    <w:tmpl w:val="636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2734"/>
    <w:multiLevelType w:val="hybridMultilevel"/>
    <w:tmpl w:val="6B8A0C4C"/>
    <w:lvl w:ilvl="0" w:tplc="15328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EA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A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ED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0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4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2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8172C"/>
    <w:multiLevelType w:val="hybridMultilevel"/>
    <w:tmpl w:val="3F16B502"/>
    <w:lvl w:ilvl="0" w:tplc="92C6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69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0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0F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2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5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2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A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550AD2"/>
    <w:multiLevelType w:val="hybridMultilevel"/>
    <w:tmpl w:val="8FD8EC30"/>
    <w:lvl w:ilvl="0" w:tplc="734C8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C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6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00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EA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A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A2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65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4BD0"/>
    <w:rsid w:val="000710A1"/>
    <w:rsid w:val="00364EBD"/>
    <w:rsid w:val="003A6982"/>
    <w:rsid w:val="003F4BD0"/>
    <w:rsid w:val="00461168"/>
    <w:rsid w:val="00534B13"/>
    <w:rsid w:val="009027EA"/>
    <w:rsid w:val="009D021D"/>
    <w:rsid w:val="00AF68F9"/>
    <w:rsid w:val="00B0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D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F4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2AE8-C8F8-4572-9841-647F8B17E29E}"/>
</file>

<file path=customXml/itemProps2.xml><?xml version="1.0" encoding="utf-8"?>
<ds:datastoreItem xmlns:ds="http://schemas.openxmlformats.org/officeDocument/2006/customXml" ds:itemID="{9BC475B3-870B-49AA-BC24-9931C1B2C409}"/>
</file>

<file path=customXml/itemProps3.xml><?xml version="1.0" encoding="utf-8"?>
<ds:datastoreItem xmlns:ds="http://schemas.openxmlformats.org/officeDocument/2006/customXml" ds:itemID="{C675051D-8022-4370-9EB8-49A6ACEFD447}"/>
</file>

<file path=customXml/itemProps4.xml><?xml version="1.0" encoding="utf-8"?>
<ds:datastoreItem xmlns:ds="http://schemas.openxmlformats.org/officeDocument/2006/customXml" ds:itemID="{F76309E3-D829-410F-885C-BA72A6BBA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12</Pages>
  <Words>4163</Words>
  <Characters>23734</Characters>
  <Application>Microsoft Office Word</Application>
  <DocSecurity>0</DocSecurity>
  <Lines>197</Lines>
  <Paragraphs>55</Paragraphs>
  <ScaleCrop>false</ScaleCrop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7</cp:revision>
  <dcterms:created xsi:type="dcterms:W3CDTF">2023-02-23T15:17:00Z</dcterms:created>
  <dcterms:modified xsi:type="dcterms:W3CDTF">2023-03-14T19:15:00Z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