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17" w:rsidRDefault="00CC4817" w:rsidP="00BF0B4B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32"/>
          <w:szCs w:val="28"/>
        </w:rPr>
      </w:pPr>
      <w:r>
        <w:rPr>
          <w:rFonts w:ascii="Bookman Old Style" w:hAnsi="Bookman Old Style"/>
          <w:b/>
          <w:color w:val="FF0000"/>
          <w:sz w:val="32"/>
          <w:szCs w:val="28"/>
        </w:rPr>
        <w:t>ПРИЗЫВЫ К АНТИОБЩЕСТВЕННЫМ</w:t>
      </w:r>
    </w:p>
    <w:p w:rsidR="00CC4817" w:rsidRDefault="00CC4817" w:rsidP="00BF0B4B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32"/>
          <w:szCs w:val="28"/>
        </w:rPr>
      </w:pPr>
      <w:r>
        <w:rPr>
          <w:rFonts w:ascii="Bookman Old Style" w:hAnsi="Bookman Old Style"/>
          <w:b/>
          <w:color w:val="FF0000"/>
          <w:sz w:val="32"/>
          <w:szCs w:val="28"/>
        </w:rPr>
        <w:t>ДЕЙСТВИЯМ</w:t>
      </w:r>
    </w:p>
    <w:p w:rsidR="000C0DBA" w:rsidRPr="000C0DBA" w:rsidRDefault="000C0DBA" w:rsidP="00BF0B4B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18"/>
          <w:szCs w:val="28"/>
        </w:rPr>
      </w:pPr>
    </w:p>
    <w:p w:rsidR="000C0DBA" w:rsidRDefault="00CC4817" w:rsidP="00BF0B4B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24"/>
          <w:szCs w:val="28"/>
        </w:rPr>
      </w:pPr>
      <w:r w:rsidRPr="00CC4817">
        <w:rPr>
          <w:rFonts w:ascii="Bookman Old Style" w:hAnsi="Bookman Old Style"/>
          <w:b/>
          <w:color w:val="FF0000"/>
          <w:sz w:val="24"/>
          <w:szCs w:val="28"/>
        </w:rPr>
        <w:t>п</w:t>
      </w:r>
      <w:r w:rsidR="000C0DBA">
        <w:rPr>
          <w:rFonts w:ascii="Bookman Old Style" w:hAnsi="Bookman Old Style"/>
          <w:b/>
          <w:color w:val="FF0000"/>
          <w:sz w:val="24"/>
          <w:szCs w:val="28"/>
        </w:rPr>
        <w:t>амятка для руководителей</w:t>
      </w:r>
    </w:p>
    <w:p w:rsidR="0074106A" w:rsidRPr="00CC4817" w:rsidRDefault="000C0DBA" w:rsidP="00BF0B4B">
      <w:pPr>
        <w:spacing w:after="0" w:line="240" w:lineRule="auto"/>
        <w:jc w:val="center"/>
        <w:rPr>
          <w:rFonts w:ascii="Bookman Old Style" w:hAnsi="Bookman Old Style"/>
          <w:b/>
          <w:color w:val="FF0000"/>
          <w:sz w:val="24"/>
          <w:szCs w:val="28"/>
        </w:rPr>
      </w:pPr>
      <w:r>
        <w:rPr>
          <w:rFonts w:ascii="Bookman Old Style" w:hAnsi="Bookman Old Style"/>
          <w:b/>
          <w:color w:val="FF0000"/>
          <w:sz w:val="24"/>
          <w:szCs w:val="28"/>
        </w:rPr>
        <w:t>образовательных организаций</w:t>
      </w:r>
    </w:p>
    <w:p w:rsidR="00485092" w:rsidRPr="00485092" w:rsidRDefault="00485092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485092" w:rsidRDefault="00CC4817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CC4817">
        <w:rPr>
          <w:rFonts w:ascii="Bookman Old Style" w:hAnsi="Bookman Old Style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920115</wp:posOffset>
            </wp:positionV>
            <wp:extent cx="1608455" cy="3078480"/>
            <wp:effectExtent l="133350" t="76200" r="86995" b="140970"/>
            <wp:wrapSquare wrapText="bothSides"/>
            <wp:docPr id="1" name="Рисунок 1" descr="C:\Users\User\Desktop\010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102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7" t="1" r="60672" b="1480"/>
                    <a:stretch/>
                  </pic:blipFill>
                  <pic:spPr bwMode="auto">
                    <a:xfrm>
                      <a:off x="0" y="0"/>
                      <a:ext cx="1608455" cy="30784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5092" w:rsidRPr="00485092">
        <w:rPr>
          <w:rFonts w:ascii="Bookman Old Style" w:hAnsi="Bookman Old Style"/>
          <w:sz w:val="28"/>
          <w:szCs w:val="28"/>
        </w:rPr>
        <w:t xml:space="preserve">Распространение экстремистских идей на сегодняшний день признано одной из наиболее серьёзных угроз безопасности </w:t>
      </w:r>
      <w:r w:rsidR="00485092">
        <w:rPr>
          <w:rFonts w:ascii="Bookman Old Style" w:hAnsi="Bookman Old Style"/>
          <w:sz w:val="28"/>
          <w:szCs w:val="28"/>
        </w:rPr>
        <w:t xml:space="preserve">как </w:t>
      </w:r>
      <w:r w:rsidR="00485092" w:rsidRPr="00485092">
        <w:rPr>
          <w:rFonts w:ascii="Bookman Old Style" w:hAnsi="Bookman Old Style"/>
          <w:sz w:val="28"/>
          <w:szCs w:val="28"/>
        </w:rPr>
        <w:t>государства</w:t>
      </w:r>
      <w:r w:rsidR="00485092">
        <w:rPr>
          <w:rFonts w:ascii="Bookman Old Style" w:hAnsi="Bookman Old Style"/>
          <w:sz w:val="28"/>
          <w:szCs w:val="28"/>
        </w:rPr>
        <w:t xml:space="preserve"> в целом, так и отдельно взятой личности. </w:t>
      </w:r>
      <w:r w:rsidR="00485092" w:rsidRPr="00485092">
        <w:rPr>
          <w:rFonts w:ascii="Bookman Old Style" w:hAnsi="Bookman Old Style"/>
          <w:sz w:val="28"/>
          <w:szCs w:val="28"/>
        </w:rPr>
        <w:t>Сам по себе экстремизм и совершаемые в рамках этого понятия преступления ставят своей целью обязательное нарушение сущ</w:t>
      </w:r>
      <w:r w:rsidR="00BF0B4B">
        <w:rPr>
          <w:rFonts w:ascii="Bookman Old Style" w:hAnsi="Bookman Old Style"/>
          <w:sz w:val="28"/>
          <w:szCs w:val="28"/>
        </w:rPr>
        <w:t>ествующего порядка</w:t>
      </w:r>
      <w:r w:rsidR="00485092" w:rsidRPr="00485092">
        <w:rPr>
          <w:rFonts w:ascii="Bookman Old Style" w:hAnsi="Bookman Old Style"/>
          <w:sz w:val="28"/>
          <w:szCs w:val="28"/>
        </w:rPr>
        <w:t xml:space="preserve"> независимо от того, какими методами такое нарушение будет осуществляться.</w:t>
      </w:r>
    </w:p>
    <w:p w:rsidR="00485092" w:rsidRDefault="00485092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485092">
        <w:rPr>
          <w:rFonts w:ascii="Bookman Old Style" w:hAnsi="Bookman Old Style"/>
          <w:sz w:val="28"/>
          <w:szCs w:val="28"/>
        </w:rPr>
        <w:t>Однако на сегодняшний день подавляющее большинство преступлений экстремистской направленности раскрываются еще на этапе подготовки к ним, а также н</w:t>
      </w:r>
      <w:r>
        <w:rPr>
          <w:rFonts w:ascii="Bookman Old Style" w:hAnsi="Bookman Old Style"/>
          <w:sz w:val="28"/>
          <w:szCs w:val="28"/>
        </w:rPr>
        <w:t>а предшествующем этапе призыва.</w:t>
      </w:r>
    </w:p>
    <w:p w:rsidR="00485092" w:rsidRDefault="00485092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485092">
        <w:rPr>
          <w:rFonts w:ascii="Bookman Old Style" w:hAnsi="Bookman Old Style"/>
          <w:sz w:val="28"/>
          <w:szCs w:val="28"/>
        </w:rPr>
        <w:t xml:space="preserve">Призывы к экстремизму могут проявляться в различных формах и видах, однако главной их целью является привлечение как можно большего количества сторонников тех идей, благодаря которым будут совершаться различные </w:t>
      </w:r>
      <w:r>
        <w:rPr>
          <w:rFonts w:ascii="Bookman Old Style" w:hAnsi="Bookman Old Style"/>
          <w:sz w:val="28"/>
          <w:szCs w:val="28"/>
        </w:rPr>
        <w:t xml:space="preserve">противоправные </w:t>
      </w:r>
      <w:r w:rsidRPr="00485092">
        <w:rPr>
          <w:rFonts w:ascii="Bookman Old Style" w:hAnsi="Bookman Old Style"/>
          <w:sz w:val="28"/>
          <w:szCs w:val="28"/>
        </w:rPr>
        <w:t>действия, направленные на разрушение и уничтожение существующего</w:t>
      </w:r>
      <w:r w:rsidR="000408A4">
        <w:rPr>
          <w:rFonts w:ascii="Bookman Old Style" w:hAnsi="Bookman Old Style"/>
          <w:sz w:val="28"/>
          <w:szCs w:val="28"/>
        </w:rPr>
        <w:t xml:space="preserve"> общественного порядка.</w:t>
      </w:r>
    </w:p>
    <w:p w:rsidR="000408A4" w:rsidRDefault="000408A4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Призыв к экстремизму может высказываться в различных формах, а сами идеи распространяться различными способами и методами, в том числе с использованием современных</w:t>
      </w:r>
      <w:r>
        <w:rPr>
          <w:rFonts w:ascii="Bookman Old Style" w:hAnsi="Bookman Old Style"/>
          <w:sz w:val="28"/>
          <w:szCs w:val="28"/>
        </w:rPr>
        <w:t xml:space="preserve"> </w:t>
      </w:r>
      <w:hyperlink r:id="rId7" w:history="1">
        <w:r w:rsidRPr="000408A4">
          <w:rPr>
            <w:rFonts w:ascii="Bookman Old Style" w:hAnsi="Bookman Old Style"/>
            <w:sz w:val="28"/>
            <w:szCs w:val="28"/>
          </w:rPr>
          <w:t>информационных технологий</w:t>
        </w:r>
      </w:hyperlink>
      <w:r>
        <w:rPr>
          <w:rFonts w:ascii="Bookman Old Style" w:hAnsi="Bookman Old Style"/>
          <w:sz w:val="28"/>
          <w:szCs w:val="28"/>
        </w:rPr>
        <w:t xml:space="preserve"> (например – через социальные сети)</w:t>
      </w:r>
      <w:r w:rsidRPr="000408A4">
        <w:rPr>
          <w:rFonts w:ascii="Bookman Old Style" w:hAnsi="Bookman Old Style"/>
          <w:sz w:val="28"/>
          <w:szCs w:val="28"/>
        </w:rPr>
        <w:t>.</w:t>
      </w:r>
    </w:p>
    <w:p w:rsidR="000C0DBA" w:rsidRDefault="000C0DBA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В связи с этим, необходимо уделить особое внимание вопросам вовлечения обучающихся в общественно опасную деятельность при проведении педагогических советов и совещаний, родительских собраний.</w:t>
      </w:r>
    </w:p>
    <w:p w:rsidR="000C0DBA" w:rsidRDefault="000C0DBA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При проведении вышеуказанных мероприятий рекомендуется использовать информацию, пре</w:t>
      </w:r>
      <w:r w:rsidR="001E0D84">
        <w:rPr>
          <w:rFonts w:ascii="Bookman Old Style" w:hAnsi="Bookman Old Style"/>
          <w:sz w:val="28"/>
          <w:szCs w:val="28"/>
        </w:rPr>
        <w:t>дставленную в приложениях и вложениях к информационному письму</w:t>
      </w:r>
      <w:r>
        <w:rPr>
          <w:rFonts w:ascii="Bookman Old Style" w:hAnsi="Bookman Old Style"/>
          <w:sz w:val="28"/>
          <w:szCs w:val="28"/>
        </w:rPr>
        <w:t>.</w:t>
      </w:r>
    </w:p>
    <w:p w:rsidR="000C0DBA" w:rsidRDefault="000C0DBA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</w:p>
    <w:p w:rsidR="000C0DBA" w:rsidRDefault="000C0DBA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</w:p>
    <w:p w:rsidR="000C0DBA" w:rsidRDefault="000C0DBA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br w:type="page"/>
      </w:r>
    </w:p>
    <w:p w:rsidR="00CC4817" w:rsidRDefault="000C0DBA" w:rsidP="000C0DBA">
      <w:pPr>
        <w:spacing w:after="0" w:line="240" w:lineRule="auto"/>
        <w:jc w:val="right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Приложение 1</w:t>
      </w:r>
    </w:p>
    <w:p w:rsidR="000C0DBA" w:rsidRDefault="000C0DBA" w:rsidP="00BF0B4B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C0DBA" w:rsidRDefault="000C0DBA" w:rsidP="00BF0B4B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BF0B4B" w:rsidRPr="00CC4817" w:rsidRDefault="00BF0B4B" w:rsidP="000C0DBA">
      <w:pPr>
        <w:spacing w:after="0" w:line="240" w:lineRule="auto"/>
        <w:jc w:val="center"/>
        <w:rPr>
          <w:rFonts w:ascii="Bookman Old Style" w:hAnsi="Bookman Old Style"/>
          <w:b/>
          <w:color w:val="0000FF"/>
          <w:sz w:val="32"/>
          <w:szCs w:val="28"/>
        </w:rPr>
      </w:pPr>
      <w:r w:rsidRPr="00CC4817">
        <w:rPr>
          <w:rFonts w:ascii="Bookman Old Style" w:hAnsi="Bookman Old Style"/>
          <w:b/>
          <w:color w:val="0000FF"/>
          <w:sz w:val="32"/>
          <w:szCs w:val="28"/>
        </w:rPr>
        <w:t>Несовершеннолетние</w:t>
      </w:r>
    </w:p>
    <w:p w:rsidR="00BF0B4B" w:rsidRPr="00CC4817" w:rsidRDefault="00BF0B4B" w:rsidP="000C0DBA">
      <w:pPr>
        <w:spacing w:after="0" w:line="240" w:lineRule="auto"/>
        <w:jc w:val="center"/>
        <w:rPr>
          <w:rFonts w:ascii="Bookman Old Style" w:hAnsi="Bookman Old Style"/>
          <w:b/>
          <w:color w:val="0000FF"/>
          <w:sz w:val="32"/>
          <w:szCs w:val="28"/>
        </w:rPr>
      </w:pPr>
      <w:r w:rsidRPr="00CC4817">
        <w:rPr>
          <w:rFonts w:ascii="Bookman Old Style" w:hAnsi="Bookman Old Style"/>
          <w:b/>
          <w:color w:val="0000FF"/>
          <w:sz w:val="32"/>
          <w:szCs w:val="28"/>
        </w:rPr>
        <w:t>«группы риска»</w:t>
      </w:r>
    </w:p>
    <w:p w:rsidR="00BF0B4B" w:rsidRDefault="00BF0B4B" w:rsidP="00BF0B4B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C0DBA" w:rsidRDefault="000C0DBA" w:rsidP="00BF0B4B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408A4" w:rsidRDefault="000408A4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Основной группой риска являются несовершеннолетние, находящиеся в трудной жизненной ситуации, в том числе – в конфликте с законом.</w:t>
      </w:r>
    </w:p>
    <w:p w:rsidR="000408A4" w:rsidRDefault="000408A4" w:rsidP="000408A4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Выделяются следующие факторы, способствующие вовлечению несовершеннолетнего в экстремистскую или террористическую деятельность:</w:t>
      </w:r>
    </w:p>
    <w:p w:rsidR="000408A4" w:rsidRPr="000408A4" w:rsidRDefault="000408A4" w:rsidP="000408A4">
      <w:pPr>
        <w:pStyle w:val="a6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низкая самооценка с постоянной, зачастую агрессивной готовностью к защите своей личности;</w:t>
      </w:r>
    </w:p>
    <w:p w:rsidR="000408A4" w:rsidRPr="000408A4" w:rsidRDefault="00CC4817" w:rsidP="000408A4">
      <w:pPr>
        <w:pStyle w:val="a6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Bookman Old Style" w:hAnsi="Bookman Old Style"/>
          <w:sz w:val="28"/>
          <w:szCs w:val="28"/>
        </w:rPr>
      </w:pPr>
      <w:r w:rsidRPr="00CC4817">
        <w:rPr>
          <w:rFonts w:ascii="Bookman Old Style" w:hAnsi="Bookman Old Style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3896360</wp:posOffset>
            </wp:positionH>
            <wp:positionV relativeFrom="paragraph">
              <wp:posOffset>76200</wp:posOffset>
            </wp:positionV>
            <wp:extent cx="2247900" cy="1816100"/>
            <wp:effectExtent l="133350" t="76200" r="76200" b="127000"/>
            <wp:wrapSquare wrapText="bothSides"/>
            <wp:docPr id="2" name="Рисунок 2" descr="C:\Users\User\Desktop\a8lkas5hk54g2u7d79dcx94dj27xlh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8lkas5hk54g2u7d79dcx94dj27xlhv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46" t="1845" r="3799" b="21218"/>
                    <a:stretch/>
                  </pic:blipFill>
                  <pic:spPr bwMode="auto">
                    <a:xfrm>
                      <a:off x="0" y="0"/>
                      <a:ext cx="2247900" cy="18161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08A4" w:rsidRPr="000408A4">
        <w:rPr>
          <w:rFonts w:ascii="Bookman Old Style" w:hAnsi="Bookman Old Style"/>
          <w:sz w:val="28"/>
          <w:szCs w:val="28"/>
        </w:rPr>
        <w:t>переживание социальной несправедливости со склонностью проецировать причины своих жизненных неудач на близкое окружение или общество в целом;</w:t>
      </w:r>
    </w:p>
    <w:p w:rsidR="000408A4" w:rsidRPr="000408A4" w:rsidRDefault="000408A4" w:rsidP="000408A4">
      <w:pPr>
        <w:pStyle w:val="a6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сильная (как правило, неудовлетворенная) потребность в присоединении или принадлежности к значимой группе.</w:t>
      </w:r>
    </w:p>
    <w:p w:rsidR="00CC4817" w:rsidRDefault="00CC4817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CC4817" w:rsidRDefault="00CC4817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BF0B4B" w:rsidRPr="00CC4817" w:rsidRDefault="00BF0B4B" w:rsidP="000C0DBA">
      <w:pPr>
        <w:spacing w:after="0" w:line="240" w:lineRule="auto"/>
        <w:jc w:val="center"/>
        <w:rPr>
          <w:rFonts w:ascii="Bookman Old Style" w:hAnsi="Bookman Old Style"/>
          <w:b/>
          <w:color w:val="0000FF"/>
          <w:sz w:val="32"/>
          <w:szCs w:val="28"/>
        </w:rPr>
      </w:pPr>
      <w:r w:rsidRPr="00CC4817">
        <w:rPr>
          <w:rFonts w:ascii="Bookman Old Style" w:hAnsi="Bookman Old Style"/>
          <w:b/>
          <w:color w:val="0000FF"/>
          <w:sz w:val="32"/>
          <w:szCs w:val="28"/>
        </w:rPr>
        <w:t>Маркеры вовлеченности</w:t>
      </w:r>
    </w:p>
    <w:p w:rsidR="000408A4" w:rsidRPr="00CC4817" w:rsidRDefault="000408A4" w:rsidP="000C0DBA">
      <w:pPr>
        <w:spacing w:after="0" w:line="240" w:lineRule="auto"/>
        <w:jc w:val="center"/>
        <w:rPr>
          <w:rFonts w:ascii="Bookman Old Style" w:hAnsi="Bookman Old Style"/>
          <w:b/>
          <w:color w:val="0000FF"/>
          <w:sz w:val="32"/>
          <w:szCs w:val="28"/>
        </w:rPr>
      </w:pPr>
      <w:r w:rsidRPr="00CC4817">
        <w:rPr>
          <w:rFonts w:ascii="Bookman Old Style" w:hAnsi="Bookman Old Style"/>
          <w:b/>
          <w:color w:val="0000FF"/>
          <w:sz w:val="32"/>
          <w:szCs w:val="28"/>
        </w:rPr>
        <w:t>в общественно опасную деятельность</w:t>
      </w:r>
    </w:p>
    <w:p w:rsidR="000408A4" w:rsidRDefault="000408A4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CC4817" w:rsidRDefault="00CC4817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408A4" w:rsidRPr="000408A4" w:rsidRDefault="000408A4" w:rsidP="00BF0B4B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 xml:space="preserve">К числу признаков, которые могут указывать на вовлечение несовершеннолетнего в </w:t>
      </w:r>
      <w:r>
        <w:rPr>
          <w:rFonts w:ascii="Bookman Old Style" w:hAnsi="Bookman Old Style"/>
          <w:sz w:val="28"/>
          <w:szCs w:val="28"/>
        </w:rPr>
        <w:t xml:space="preserve">общественно опасную деятельность и / или </w:t>
      </w:r>
      <w:r w:rsidRPr="000408A4">
        <w:rPr>
          <w:rFonts w:ascii="Bookman Old Style" w:hAnsi="Bookman Old Style"/>
          <w:sz w:val="28"/>
          <w:szCs w:val="28"/>
        </w:rPr>
        <w:t>деструктивную организацию, можно отнести:</w:t>
      </w:r>
    </w:p>
    <w:p w:rsidR="000408A4" w:rsidRDefault="000408A4" w:rsidP="006D027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внезапное изменение лексики, не связанное с получаемыми новыми знаниями в ходе образовательного процесса (фразы на арабском языке, цитаты из священных писаний, нетипичные сленговые выражения, агрессивные цитаты известных писателей, политиков, культурных деятелей);</w:t>
      </w:r>
    </w:p>
    <w:p w:rsidR="000C0DBA" w:rsidRDefault="000C0DBA" w:rsidP="000C0DBA">
      <w:pPr>
        <w:pStyle w:val="a6"/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408A4" w:rsidRPr="000408A4" w:rsidRDefault="000408A4" w:rsidP="006D027F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резкое изменение поведения:</w:t>
      </w:r>
    </w:p>
    <w:p w:rsidR="000408A4" w:rsidRPr="000408A4" w:rsidRDefault="000408A4" w:rsidP="00BF0B4B">
      <w:pPr>
        <w:pStyle w:val="a6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становится замкнутым, настороженным, раздражительным либо, напротив, самоуверенным и высокомерным, получая поддержку в новой социальной группе;</w:t>
      </w:r>
    </w:p>
    <w:p w:rsidR="00BF0B4B" w:rsidRDefault="00BF0B4B" w:rsidP="00BF0B4B">
      <w:pPr>
        <w:pStyle w:val="a6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проявляет интерес к огнестрельному и холодному оружию, взрывчатым вещества (способам их изготовления в домашних условиях);</w:t>
      </w:r>
    </w:p>
    <w:p w:rsidR="000408A4" w:rsidRDefault="000408A4" w:rsidP="00BF0B4B">
      <w:pPr>
        <w:pStyle w:val="a6"/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 xml:space="preserve">увлекается специальными компьютерными играми, в которых разыгрываются смешанные (онлайн и </w:t>
      </w:r>
      <w:proofErr w:type="spellStart"/>
      <w:r w:rsidRPr="000408A4">
        <w:rPr>
          <w:rFonts w:ascii="Bookman Old Style" w:hAnsi="Bookman Old Style"/>
          <w:sz w:val="28"/>
          <w:szCs w:val="28"/>
        </w:rPr>
        <w:t>оффлайн</w:t>
      </w:r>
      <w:proofErr w:type="spellEnd"/>
      <w:r w:rsidRPr="000408A4">
        <w:rPr>
          <w:rFonts w:ascii="Bookman Old Style" w:hAnsi="Bookman Old Style"/>
          <w:sz w:val="28"/>
          <w:szCs w:val="28"/>
        </w:rPr>
        <w:t>) сценарии, основанные на пропаганде религиозного, расового, этнического, политического противостояния, включающие прямые насильственные действия в реальной жизни и требующие фото- и видеоотчета в онлайн-режиме;</w:t>
      </w:r>
    </w:p>
    <w:p w:rsidR="000C0DBA" w:rsidRPr="000408A4" w:rsidRDefault="000C0DBA" w:rsidP="000C0DBA">
      <w:pPr>
        <w:pStyle w:val="a6"/>
        <w:spacing w:after="0" w:line="240" w:lineRule="auto"/>
        <w:ind w:left="851"/>
        <w:jc w:val="both"/>
        <w:rPr>
          <w:rFonts w:ascii="Bookman Old Style" w:hAnsi="Bookman Old Style"/>
          <w:sz w:val="28"/>
          <w:szCs w:val="28"/>
        </w:rPr>
      </w:pPr>
    </w:p>
    <w:p w:rsidR="00BF0B4B" w:rsidRDefault="000408A4" w:rsidP="001C21B3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BF0B4B">
        <w:rPr>
          <w:rFonts w:ascii="Bookman Old Style" w:hAnsi="Bookman Old Style"/>
          <w:sz w:val="28"/>
          <w:szCs w:val="28"/>
        </w:rPr>
        <w:t>пе</w:t>
      </w:r>
      <w:r w:rsidR="00BF0B4B" w:rsidRPr="00BF0B4B">
        <w:rPr>
          <w:rFonts w:ascii="Bookman Old Style" w:hAnsi="Bookman Old Style"/>
          <w:sz w:val="28"/>
          <w:szCs w:val="28"/>
        </w:rPr>
        <w:t>ремены во внешнем виде (</w:t>
      </w:r>
      <w:r w:rsidRPr="00BF0B4B">
        <w:rPr>
          <w:rFonts w:ascii="Bookman Old Style" w:hAnsi="Bookman Old Style"/>
          <w:sz w:val="28"/>
          <w:szCs w:val="28"/>
        </w:rPr>
        <w:t>подросток перестает носить типичную для него одежду, появляются дополнительные внешние атрибуты</w:t>
      </w:r>
      <w:r w:rsidR="00BF0B4B" w:rsidRPr="00BF0B4B">
        <w:rPr>
          <w:rFonts w:ascii="Bookman Old Style" w:hAnsi="Bookman Old Style"/>
          <w:sz w:val="28"/>
          <w:szCs w:val="28"/>
        </w:rPr>
        <w:t>;</w:t>
      </w:r>
      <w:r w:rsidRPr="00BF0B4B">
        <w:rPr>
          <w:rFonts w:ascii="Bookman Old Style" w:hAnsi="Bookman Old Style"/>
          <w:sz w:val="28"/>
          <w:szCs w:val="28"/>
        </w:rPr>
        <w:t xml:space="preserve"> изменяется прическа, отращивается борода и т.д.;</w:t>
      </w:r>
      <w:r w:rsidR="00BF0B4B" w:rsidRPr="00BF0B4B">
        <w:rPr>
          <w:rFonts w:ascii="Bookman Old Style" w:hAnsi="Bookman Old Style"/>
          <w:sz w:val="28"/>
          <w:szCs w:val="28"/>
        </w:rPr>
        <w:t xml:space="preserve"> </w:t>
      </w:r>
      <w:r w:rsidRPr="00BF0B4B">
        <w:rPr>
          <w:rFonts w:ascii="Bookman Old Style" w:hAnsi="Bookman Old Style"/>
          <w:sz w:val="28"/>
          <w:szCs w:val="28"/>
        </w:rPr>
        <w:t>появление нового круга общения</w:t>
      </w:r>
      <w:r w:rsidR="00BF0B4B">
        <w:rPr>
          <w:rFonts w:ascii="Bookman Old Style" w:hAnsi="Bookman Old Style"/>
          <w:sz w:val="28"/>
          <w:szCs w:val="28"/>
        </w:rPr>
        <w:t xml:space="preserve"> и т.д</w:t>
      </w:r>
      <w:r w:rsidR="00CC4817">
        <w:rPr>
          <w:rFonts w:ascii="Bookman Old Style" w:hAnsi="Bookman Old Style"/>
          <w:sz w:val="28"/>
          <w:szCs w:val="28"/>
        </w:rPr>
        <w:t>.</w:t>
      </w:r>
      <w:r w:rsidR="00BF0B4B">
        <w:rPr>
          <w:rFonts w:ascii="Bookman Old Style" w:hAnsi="Bookman Old Style"/>
          <w:sz w:val="28"/>
          <w:szCs w:val="28"/>
        </w:rPr>
        <w:t>)</w:t>
      </w:r>
      <w:r w:rsidRPr="00BF0B4B">
        <w:rPr>
          <w:rFonts w:ascii="Bookman Old Style" w:hAnsi="Bookman Old Style"/>
          <w:sz w:val="28"/>
          <w:szCs w:val="28"/>
        </w:rPr>
        <w:t>.</w:t>
      </w:r>
    </w:p>
    <w:p w:rsidR="000408A4" w:rsidRDefault="000408A4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C0DBA" w:rsidRDefault="000C0DBA">
      <w:pPr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br w:type="page"/>
      </w:r>
    </w:p>
    <w:p w:rsidR="00CC4817" w:rsidRDefault="000C0DBA" w:rsidP="000C0DBA">
      <w:pPr>
        <w:spacing w:after="0" w:line="240" w:lineRule="auto"/>
        <w:jc w:val="right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Приложение 2</w:t>
      </w:r>
    </w:p>
    <w:p w:rsidR="00CC4817" w:rsidRDefault="00CC4817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CC4817" w:rsidRDefault="00CC4817" w:rsidP="000C0DBA">
      <w:pPr>
        <w:spacing w:after="0" w:line="240" w:lineRule="auto"/>
        <w:jc w:val="center"/>
        <w:rPr>
          <w:rFonts w:ascii="Bookman Old Style" w:hAnsi="Bookman Old Style"/>
          <w:b/>
          <w:color w:val="0000FF"/>
          <w:sz w:val="32"/>
          <w:szCs w:val="28"/>
        </w:rPr>
      </w:pPr>
      <w:r>
        <w:rPr>
          <w:rFonts w:ascii="Bookman Old Style" w:hAnsi="Bookman Old Style"/>
          <w:b/>
          <w:color w:val="0000FF"/>
          <w:sz w:val="32"/>
          <w:szCs w:val="28"/>
        </w:rPr>
        <w:t>Куда обращаться,</w:t>
      </w:r>
      <w:r w:rsidR="000C0DBA">
        <w:rPr>
          <w:rFonts w:ascii="Bookman Old Style" w:hAnsi="Bookman Old Style"/>
          <w:b/>
          <w:color w:val="0000FF"/>
          <w:sz w:val="32"/>
          <w:szCs w:val="28"/>
        </w:rPr>
        <w:t xml:space="preserve"> </w:t>
      </w:r>
      <w:r w:rsidR="00BF0B4B" w:rsidRPr="00CC4817">
        <w:rPr>
          <w:rFonts w:ascii="Bookman Old Style" w:hAnsi="Bookman Old Style"/>
          <w:b/>
          <w:color w:val="0000FF"/>
          <w:sz w:val="32"/>
          <w:szCs w:val="28"/>
        </w:rPr>
        <w:t>если заметили</w:t>
      </w:r>
      <w:r>
        <w:rPr>
          <w:rFonts w:ascii="Bookman Old Style" w:hAnsi="Bookman Old Style"/>
          <w:b/>
          <w:color w:val="0000FF"/>
          <w:sz w:val="32"/>
          <w:szCs w:val="28"/>
        </w:rPr>
        <w:t xml:space="preserve"> призывы</w:t>
      </w:r>
    </w:p>
    <w:p w:rsidR="000408A4" w:rsidRPr="000408A4" w:rsidRDefault="00CC4817" w:rsidP="000C0DBA">
      <w:pPr>
        <w:spacing w:after="0" w:line="240" w:lineRule="auto"/>
        <w:jc w:val="center"/>
        <w:rPr>
          <w:rFonts w:ascii="Bookman Old Style" w:hAnsi="Bookman Old Style"/>
          <w:b/>
          <w:color w:val="0000FF"/>
          <w:sz w:val="32"/>
          <w:szCs w:val="28"/>
        </w:rPr>
      </w:pPr>
      <w:r>
        <w:rPr>
          <w:rFonts w:ascii="Bookman Old Style" w:hAnsi="Bookman Old Style"/>
          <w:b/>
          <w:color w:val="0000FF"/>
          <w:sz w:val="32"/>
          <w:szCs w:val="28"/>
        </w:rPr>
        <w:t xml:space="preserve">к экстремистской </w:t>
      </w:r>
      <w:r w:rsidR="000C0DBA">
        <w:rPr>
          <w:rFonts w:ascii="Bookman Old Style" w:hAnsi="Bookman Old Style"/>
          <w:b/>
          <w:color w:val="0000FF"/>
          <w:sz w:val="32"/>
          <w:szCs w:val="28"/>
        </w:rPr>
        <w:t>деятельности</w:t>
      </w:r>
    </w:p>
    <w:p w:rsidR="000408A4" w:rsidRDefault="000408A4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408A4" w:rsidRPr="000408A4" w:rsidRDefault="000408A4" w:rsidP="00CC4817">
      <w:pPr>
        <w:spacing w:after="0" w:line="240" w:lineRule="auto"/>
        <w:ind w:firstLine="851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Порядок действий в таких случаях будет выглядеть следующим образом:</w:t>
      </w:r>
    </w:p>
    <w:p w:rsidR="000408A4" w:rsidRPr="000408A4" w:rsidRDefault="000408A4" w:rsidP="000408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После выявления факта призыва к экстремизму или распространения экстремистских идей необходимо обратиться в территориальное подразделение Федеральной службы безопасности или органов внутренних дел с заявлением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0408A4">
        <w:rPr>
          <w:rFonts w:ascii="Bookman Old Style" w:hAnsi="Bookman Old Style"/>
          <w:sz w:val="28"/>
          <w:szCs w:val="28"/>
        </w:rPr>
        <w:t>о факте выявленного распространения экстремистских идей или призыва к такой деятельности. В качестве территориального подразделения может быть выбрано подразделение по месту регистрации заявителя или по месту выявления факта призыва.</w:t>
      </w:r>
    </w:p>
    <w:p w:rsidR="000408A4" w:rsidRPr="000408A4" w:rsidRDefault="000408A4" w:rsidP="000408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В подаваемом заявлении необходимо указать, когда и при каких обстоятельствах заявитель обнаружил материалы, содержащие, по его мнению, призыв к экстремизму, а также приложить по возможности материалы, которые либо докажут факт такого выявления призывов к экстремизму, либо смогут дать возможность для детального изучения информации с данными о призыве (например, скриншоты страниц, на которых запечатлена информация, которая, по мнению заявителя, содержит призыв к экстремизму).</w:t>
      </w:r>
    </w:p>
    <w:p w:rsidR="000408A4" w:rsidRPr="000408A4" w:rsidRDefault="000408A4" w:rsidP="000408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В течение не более тридцати дней сотрудники правоохранительных органов соответствующего ведомства должны провести проверку поданного заявления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0408A4">
        <w:rPr>
          <w:rFonts w:ascii="Bookman Old Style" w:hAnsi="Bookman Old Style"/>
          <w:sz w:val="28"/>
          <w:szCs w:val="28"/>
        </w:rPr>
        <w:t xml:space="preserve">(но внутренние регламенты и практика обработки таких заявлений показывает, что проверка содержащихся в них сведений проводится гораздо быстрее – в течение </w:t>
      </w:r>
      <w:proofErr w:type="gramStart"/>
      <w:r w:rsidRPr="000408A4">
        <w:rPr>
          <w:rFonts w:ascii="Bookman Old Style" w:hAnsi="Bookman Old Style"/>
          <w:sz w:val="28"/>
          <w:szCs w:val="28"/>
        </w:rPr>
        <w:t>пяти-десяти</w:t>
      </w:r>
      <w:proofErr w:type="gramEnd"/>
      <w:r w:rsidRPr="000408A4">
        <w:rPr>
          <w:rFonts w:ascii="Bookman Old Style" w:hAnsi="Bookman Old Style"/>
          <w:sz w:val="28"/>
          <w:szCs w:val="28"/>
        </w:rPr>
        <w:t xml:space="preserve"> дней с момента принятия заявления у заявителя).</w:t>
      </w:r>
    </w:p>
    <w:p w:rsidR="000408A4" w:rsidRPr="000408A4" w:rsidRDefault="000408A4" w:rsidP="000408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  <w:r w:rsidRPr="000408A4">
        <w:rPr>
          <w:rFonts w:ascii="Bookman Old Style" w:hAnsi="Bookman Old Style"/>
          <w:sz w:val="28"/>
          <w:szCs w:val="28"/>
        </w:rPr>
        <w:t>В случае если содержание информации в поданном заявлении окажется действительно данными о призывах к экстремистским действиям, то по итогам расследования лицо, подавшее заявление, будет привлекаться в судебном заседании на правах свидетеля по делу.</w:t>
      </w:r>
      <w:r>
        <w:rPr>
          <w:rFonts w:ascii="Bookman Old Style" w:hAnsi="Bookman Old Style"/>
          <w:sz w:val="28"/>
          <w:szCs w:val="28"/>
        </w:rPr>
        <w:t xml:space="preserve"> </w:t>
      </w:r>
      <w:r w:rsidRPr="000408A4">
        <w:rPr>
          <w:rFonts w:ascii="Bookman Old Style" w:hAnsi="Bookman Old Style"/>
          <w:sz w:val="28"/>
          <w:szCs w:val="28"/>
        </w:rPr>
        <w:t>Однако такое привлечение будет рассматриваться в рамках конкретного дела, и решение будет принимать непосредственно представитель государственного обвинения на основании целесообразности использования таких свидетельских показаний.</w:t>
      </w:r>
    </w:p>
    <w:p w:rsidR="000408A4" w:rsidRDefault="000408A4" w:rsidP="00485092">
      <w:pPr>
        <w:spacing w:after="0" w:line="240" w:lineRule="auto"/>
        <w:jc w:val="both"/>
        <w:rPr>
          <w:rFonts w:ascii="Bookman Old Style" w:hAnsi="Bookman Old Style"/>
          <w:sz w:val="28"/>
          <w:szCs w:val="28"/>
        </w:rPr>
      </w:pPr>
    </w:p>
    <w:p w:rsidR="000C0DBA" w:rsidRDefault="000C0DBA">
      <w:pPr>
        <w:rPr>
          <w:rFonts w:ascii="Bookman Old Style" w:hAnsi="Bookman Old Style"/>
          <w:sz w:val="28"/>
          <w:szCs w:val="28"/>
        </w:rPr>
      </w:pPr>
      <w:bookmarkStart w:id="0" w:name="_GoBack"/>
      <w:bookmarkEnd w:id="0"/>
    </w:p>
    <w:sectPr w:rsidR="000C0DBA" w:rsidSect="004850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81201"/>
    <w:multiLevelType w:val="multilevel"/>
    <w:tmpl w:val="AEF8C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0639B"/>
    <w:multiLevelType w:val="multilevel"/>
    <w:tmpl w:val="1DF22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1B6C03"/>
    <w:multiLevelType w:val="hybridMultilevel"/>
    <w:tmpl w:val="5D9C9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10837"/>
    <w:multiLevelType w:val="multilevel"/>
    <w:tmpl w:val="C792C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5A3BDE"/>
    <w:multiLevelType w:val="hybridMultilevel"/>
    <w:tmpl w:val="F5FA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9378E"/>
    <w:multiLevelType w:val="multilevel"/>
    <w:tmpl w:val="0714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2068D5"/>
    <w:multiLevelType w:val="hybridMultilevel"/>
    <w:tmpl w:val="F7A40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0FE2"/>
    <w:multiLevelType w:val="multilevel"/>
    <w:tmpl w:val="1B38A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C21D91"/>
    <w:multiLevelType w:val="multilevel"/>
    <w:tmpl w:val="DB888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092"/>
    <w:rsid w:val="000408A4"/>
    <w:rsid w:val="000C0DBA"/>
    <w:rsid w:val="001E0D84"/>
    <w:rsid w:val="00485092"/>
    <w:rsid w:val="00493CA5"/>
    <w:rsid w:val="0074106A"/>
    <w:rsid w:val="00BF0B4B"/>
    <w:rsid w:val="00C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7C6205-36D1-475E-A9DF-4C69097D2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408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509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408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04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408A4"/>
    <w:rPr>
      <w:b/>
      <w:bCs/>
    </w:rPr>
  </w:style>
  <w:style w:type="paragraph" w:styleId="a6">
    <w:name w:val="List Paragraph"/>
    <w:basedOn w:val="a"/>
    <w:uiPriority w:val="34"/>
    <w:qFormat/>
    <w:rsid w:val="000408A4"/>
    <w:pPr>
      <w:ind w:left="720"/>
      <w:contextualSpacing/>
    </w:pPr>
  </w:style>
  <w:style w:type="table" w:styleId="a7">
    <w:name w:val="Table Grid"/>
    <w:basedOn w:val="a1"/>
    <w:uiPriority w:val="39"/>
    <w:rsid w:val="00CC4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C0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0D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pravo.team/uk-i-koap/gosudarstvennaya-bezopasnost/ekstrimizm/borba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684EC-D135-45E2-A13F-C3A18368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2022-12-27T08:17:00Z</cp:lastPrinted>
  <dcterms:created xsi:type="dcterms:W3CDTF">2022-12-27T06:53:00Z</dcterms:created>
  <dcterms:modified xsi:type="dcterms:W3CDTF">2022-12-27T08:47:00Z</dcterms:modified>
</cp:coreProperties>
</file>