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4D" w:rsidRPr="00C8794D" w:rsidRDefault="00C8794D" w:rsidP="00C8794D">
      <w:pPr>
        <w:shd w:val="clear" w:color="auto" w:fill="FFFFFF"/>
        <w:spacing w:after="0" w:line="351" w:lineRule="atLeast"/>
        <w:jc w:val="center"/>
        <w:textAlignment w:val="baseline"/>
        <w:outlineLvl w:val="1"/>
        <w:rPr>
          <w:rFonts w:ascii="PTSansRegular" w:eastAsia="Times New Roman" w:hAnsi="PTSansRegular" w:cs="Times New Roman"/>
          <w:b/>
          <w:bCs/>
          <w:color w:val="0059AA"/>
          <w:sz w:val="27"/>
          <w:szCs w:val="27"/>
          <w:lang w:eastAsia="ru-RU"/>
        </w:rPr>
      </w:pPr>
      <w:r w:rsidRPr="00C8794D">
        <w:rPr>
          <w:rFonts w:ascii="PTSansRegular" w:eastAsia="Times New Roman" w:hAnsi="PTSansRegular" w:cs="Times New Roman"/>
          <w:b/>
          <w:bCs/>
          <w:color w:val="0059AA"/>
          <w:sz w:val="27"/>
          <w:szCs w:val="27"/>
          <w:lang w:eastAsia="ru-RU"/>
        </w:rPr>
        <w:t>О НАПРАВЛЕНИИ МЕТОДИЧЕСКИХ РЕКОМЕНДАЦИЙ</w:t>
      </w:r>
      <w:r w:rsidRPr="00C8794D">
        <w:rPr>
          <w:rFonts w:ascii="PTSansRegular" w:eastAsia="Times New Roman" w:hAnsi="PTSansRegular" w:cs="Times New Roman"/>
          <w:b/>
          <w:bCs/>
          <w:color w:val="0059AA"/>
          <w:sz w:val="27"/>
          <w:szCs w:val="27"/>
          <w:lang w:eastAsia="ru-RU"/>
        </w:rPr>
        <w:br/>
      </w:r>
      <w:r w:rsidRPr="00C8794D">
        <w:rPr>
          <w:rFonts w:ascii="inherit" w:eastAsia="Times New Roman" w:hAnsi="inherit" w:cs="Times New Roman"/>
          <w:b/>
          <w:bCs/>
          <w:color w:val="0059AA"/>
          <w:sz w:val="27"/>
          <w:szCs w:val="27"/>
          <w:bdr w:val="none" w:sz="0" w:space="0" w:color="auto" w:frame="1"/>
          <w:lang w:eastAsia="ru-RU"/>
        </w:rPr>
        <w:t>ПО РАСЧЕТУ РАЗМЕРА ПЛАТЫ ЗА ПРОЖИВАНИЕ В ОБЩЕЖИТИЯХ</w:t>
      </w:r>
    </w:p>
    <w:p w:rsidR="00C8794D" w:rsidRPr="00C8794D" w:rsidRDefault="00C8794D" w:rsidP="00C8794D">
      <w:pPr>
        <w:shd w:val="clear" w:color="auto" w:fill="FFFFFF"/>
        <w:spacing w:after="150" w:line="293" w:lineRule="atLeast"/>
        <w:jc w:val="center"/>
        <w:textAlignment w:val="baseline"/>
        <w:outlineLvl w:val="2"/>
        <w:rPr>
          <w:rFonts w:ascii="PTSansRegular" w:eastAsia="Times New Roman" w:hAnsi="PTSansRegular" w:cs="Times New Roman"/>
          <w:b/>
          <w:bCs/>
          <w:color w:val="0059AA"/>
          <w:sz w:val="23"/>
          <w:szCs w:val="23"/>
          <w:lang w:eastAsia="ru-RU"/>
        </w:rPr>
      </w:pPr>
      <w:r w:rsidRPr="00C8794D">
        <w:rPr>
          <w:rFonts w:ascii="PTSansRegular" w:eastAsia="Times New Roman" w:hAnsi="PTSansRegular" w:cs="Times New Roman"/>
          <w:b/>
          <w:bCs/>
          <w:color w:val="0059AA"/>
          <w:sz w:val="23"/>
          <w:szCs w:val="23"/>
          <w:lang w:eastAsia="ru-RU"/>
        </w:rPr>
        <w:t>Письмо Министерства образования и науки Российской Федерации</w:t>
      </w:r>
      <w:r w:rsidRPr="00C8794D">
        <w:rPr>
          <w:rFonts w:ascii="PTSansRegular" w:eastAsia="Times New Roman" w:hAnsi="PTSansRegular" w:cs="Times New Roman"/>
          <w:b/>
          <w:bCs/>
          <w:color w:val="0059AA"/>
          <w:sz w:val="23"/>
          <w:szCs w:val="23"/>
          <w:lang w:eastAsia="ru-RU"/>
        </w:rPr>
        <w:br/>
        <w:t>от 26 марта 2014 г. № 09-567</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В рамках выполнения поручения председателя Правительства Российской Федерации Медведева Д.А. от 7 декабря 2013 г. № ДМ-П8-8828 Минобрнауки России совместно с заинтересованными федеральными органами исполнительной власти разработало методические рекомендации по расчету размера платы за проживание в общежитиях образовательных организаций (далее - методические рекомендации).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Учитывая изложенное, направляем для использования в работе методические рекомендации, утвержденные первым заместителем министра образования и науки Российской Федерации Н.В. Третьяк 20 марта 2014 г. № НТ-362/09.</w:t>
      </w:r>
    </w:p>
    <w:p w:rsidR="00C8794D" w:rsidRPr="00C8794D" w:rsidRDefault="00C8794D" w:rsidP="00C8794D">
      <w:pPr>
        <w:shd w:val="clear" w:color="auto" w:fill="FFFFFF"/>
        <w:spacing w:after="0" w:line="240" w:lineRule="auto"/>
        <w:jc w:val="right"/>
        <w:textAlignment w:val="baseline"/>
        <w:rPr>
          <w:rFonts w:ascii="PTSerifRegular" w:eastAsia="Times New Roman" w:hAnsi="PTSerifRegular" w:cs="Times New Roman"/>
          <w:color w:val="000000"/>
          <w:sz w:val="23"/>
          <w:szCs w:val="23"/>
          <w:lang w:eastAsia="ru-RU"/>
        </w:rPr>
      </w:pPr>
      <w:r w:rsidRPr="00C8794D">
        <w:rPr>
          <w:rFonts w:ascii="inherit" w:eastAsia="Times New Roman" w:hAnsi="inherit" w:cs="Times New Roman"/>
          <w:color w:val="000000"/>
          <w:sz w:val="23"/>
          <w:szCs w:val="23"/>
          <w:bdr w:val="none" w:sz="0" w:space="0" w:color="auto" w:frame="1"/>
          <w:lang w:eastAsia="ru-RU"/>
        </w:rPr>
        <w:t>Заместитель директора</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Департамента государственной политики</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в сфере воспитания детей и молодежи</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С.В.МОЗГЛЯКОВА</w:t>
      </w:r>
    </w:p>
    <w:p w:rsidR="00C8794D" w:rsidRPr="00C8794D" w:rsidRDefault="00C8794D" w:rsidP="00C8794D">
      <w:pPr>
        <w:shd w:val="clear" w:color="auto" w:fill="FFFFFF"/>
        <w:spacing w:after="150" w:line="240" w:lineRule="auto"/>
        <w:jc w:val="right"/>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w:t>
      </w:r>
    </w:p>
    <w:p w:rsidR="00C8794D" w:rsidRPr="00C8794D" w:rsidRDefault="00C8794D" w:rsidP="00C8794D">
      <w:pPr>
        <w:shd w:val="clear" w:color="auto" w:fill="FFFFFF"/>
        <w:spacing w:after="0" w:line="240" w:lineRule="auto"/>
        <w:jc w:val="right"/>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Утверждаю</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первый заместитель министра</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образования и науки</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Российской Федерации</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Н.В.ТРЕТЬЯК</w:t>
      </w:r>
      <w:r w:rsidRPr="00C8794D">
        <w:rPr>
          <w:rFonts w:ascii="PTSerifRegular" w:eastAsia="Times New Roman" w:hAnsi="PTSerifRegular" w:cs="Times New Roman"/>
          <w:color w:val="000000"/>
          <w:sz w:val="23"/>
          <w:szCs w:val="23"/>
          <w:lang w:eastAsia="ru-RU"/>
        </w:rPr>
        <w:br/>
      </w:r>
      <w:r w:rsidRPr="00C8794D">
        <w:rPr>
          <w:rFonts w:ascii="inherit" w:eastAsia="Times New Roman" w:hAnsi="inherit" w:cs="Times New Roman"/>
          <w:color w:val="000000"/>
          <w:sz w:val="23"/>
          <w:szCs w:val="23"/>
          <w:bdr w:val="none" w:sz="0" w:space="0" w:color="auto" w:frame="1"/>
          <w:lang w:eastAsia="ru-RU"/>
        </w:rPr>
        <w:t>20 марта 2014 г. № НТ-362/09</w:t>
      </w:r>
    </w:p>
    <w:p w:rsidR="00C8794D" w:rsidRPr="00C8794D" w:rsidRDefault="00C8794D" w:rsidP="00C8794D">
      <w:pPr>
        <w:shd w:val="clear" w:color="auto" w:fill="FFFFFF"/>
        <w:spacing w:after="0" w:line="270" w:lineRule="atLeast"/>
        <w:jc w:val="center"/>
        <w:textAlignment w:val="baseline"/>
        <w:outlineLvl w:val="3"/>
        <w:rPr>
          <w:rFonts w:ascii="PTSansRegular" w:eastAsia="Times New Roman" w:hAnsi="PTSansRegular" w:cs="Times New Roman"/>
          <w:b/>
          <w:bCs/>
          <w:color w:val="000000"/>
          <w:sz w:val="23"/>
          <w:szCs w:val="23"/>
          <w:lang w:eastAsia="ru-RU"/>
        </w:rPr>
      </w:pPr>
      <w:r w:rsidRPr="00C8794D">
        <w:rPr>
          <w:rFonts w:ascii="inherit" w:eastAsia="Times New Roman" w:hAnsi="inherit" w:cs="Times New Roman"/>
          <w:b/>
          <w:bCs/>
          <w:color w:val="000000"/>
          <w:sz w:val="23"/>
          <w:szCs w:val="23"/>
          <w:bdr w:val="none" w:sz="0" w:space="0" w:color="auto" w:frame="1"/>
          <w:lang w:eastAsia="ru-RU"/>
        </w:rPr>
        <w:t>МЕТОДИЧЕСКИЕ РЕКОМЕНДАЦИИ</w:t>
      </w:r>
      <w:r w:rsidRPr="00C8794D">
        <w:rPr>
          <w:rFonts w:ascii="PTSansRegular" w:eastAsia="Times New Roman" w:hAnsi="PTSansRegular" w:cs="Times New Roman"/>
          <w:b/>
          <w:bCs/>
          <w:color w:val="000000"/>
          <w:sz w:val="23"/>
          <w:szCs w:val="23"/>
          <w:lang w:eastAsia="ru-RU"/>
        </w:rPr>
        <w:br/>
      </w:r>
      <w:r w:rsidRPr="00C8794D">
        <w:rPr>
          <w:rFonts w:ascii="inherit" w:eastAsia="Times New Roman" w:hAnsi="inherit" w:cs="Times New Roman"/>
          <w:b/>
          <w:bCs/>
          <w:color w:val="000000"/>
          <w:sz w:val="23"/>
          <w:szCs w:val="23"/>
          <w:bdr w:val="none" w:sz="0" w:space="0" w:color="auto" w:frame="1"/>
          <w:lang w:eastAsia="ru-RU"/>
        </w:rPr>
        <w:t>ПО РАСЧЕТУ РАЗМЕРА ПЛАТЫ ЗА ПРОЖИВАНИЕ В ОБЩЕЖИТИЯХ</w:t>
      </w:r>
      <w:r w:rsidRPr="00C8794D">
        <w:rPr>
          <w:rFonts w:ascii="PTSansRegular" w:eastAsia="Times New Roman" w:hAnsi="PTSansRegular" w:cs="Times New Roman"/>
          <w:b/>
          <w:bCs/>
          <w:color w:val="000000"/>
          <w:sz w:val="23"/>
          <w:szCs w:val="23"/>
          <w:lang w:eastAsia="ru-RU"/>
        </w:rPr>
        <w:br/>
      </w:r>
      <w:r w:rsidRPr="00C8794D">
        <w:rPr>
          <w:rFonts w:ascii="inherit" w:eastAsia="Times New Roman" w:hAnsi="inherit" w:cs="Times New Roman"/>
          <w:b/>
          <w:bCs/>
          <w:color w:val="000000"/>
          <w:sz w:val="23"/>
          <w:szCs w:val="23"/>
          <w:bdr w:val="none" w:sz="0" w:space="0" w:color="auto" w:frame="1"/>
          <w:lang w:eastAsia="ru-RU"/>
        </w:rPr>
        <w:t>ОБРАЗОВАТЕЛЬНЫХ ОРГАНИЗАЦИЙ</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inherit" w:eastAsia="Times New Roman" w:hAnsi="inherit" w:cs="Times New Roman"/>
          <w:color w:val="000000"/>
          <w:sz w:val="23"/>
          <w:szCs w:val="23"/>
          <w:bdr w:val="none" w:sz="0" w:space="0" w:color="auto" w:frame="1"/>
          <w:lang w:eastAsia="ru-RU"/>
        </w:rPr>
        <w:t>Настоящие методические рекомендации разработаны в целях выработки единого подхода при установлении размера платы за пользование жилым помещением и коммунальные услуги в общежитиях образовательных организаций (далее соответственно - жилое помещение, плата за проживание в общежитии).</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В соответствии со </w:t>
      </w:r>
      <w:hyperlink r:id="rId4" w:anchor="st39" w:tooltip="Федеральный закон от 29.12.2012 № 273-ФЗ (ред. от 05.05.2014) &quot;Об образовании в Российской Федерации&quot; (с изм. и доп., вступ. в силу с 06.05.2014){КонсультантПлюс}" w:history="1">
        <w:r w:rsidRPr="00C8794D">
          <w:rPr>
            <w:rFonts w:ascii="inherit" w:eastAsia="Times New Roman" w:hAnsi="inherit" w:cs="Times New Roman"/>
            <w:color w:val="0079CC"/>
            <w:sz w:val="23"/>
            <w:szCs w:val="23"/>
            <w:bdr w:val="none" w:sz="0" w:space="0" w:color="auto" w:frame="1"/>
            <w:lang w:eastAsia="ru-RU"/>
          </w:rPr>
          <w:t>статьей 39</w:t>
        </w:r>
      </w:hyperlink>
      <w:r w:rsidRPr="00C8794D">
        <w:rPr>
          <w:rFonts w:ascii="PTSerifRegular" w:eastAsia="Times New Roman" w:hAnsi="PTSerifRegular" w:cs="Times New Roman"/>
          <w:color w:val="000000"/>
          <w:sz w:val="23"/>
          <w:szCs w:val="23"/>
          <w:lang w:eastAsia="ru-RU"/>
        </w:rPr>
        <w:t> Федерального закона от 29 декабря 2012 г. № 273-ФЗ "Об образовании в Российской Федерации" (далее - Закон об образовании) организации, осуществляющие образовательную деятельность, устанавливают в порядке, предусмотренном законодательством Российской Федерации, размер платы за проживание в общежитии.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Плата за пользование жилым помещением может быть установлена образовательной организацией в размере платы за пользование жилым помещением для нанимателей жилых помещений по договорам найма жилых помещений государственного или муниципального жилищного фонда, установленном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Размер платы за пользование жилым помещением определяется исходя из занимаемой площади жилого помещения с учетом существующих нормативов обеспеченности жилыми помещениями в общежитиях из расчета не менее шести квадратных метров жилой площади на одного человека.</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Порядок определения размера платы за пользование жилым помещением устанавливается образовательной организацией самостоятельно.</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xml:space="preserve">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w:t>
      </w:r>
      <w:r w:rsidRPr="00C8794D">
        <w:rPr>
          <w:rFonts w:ascii="PTSerifRegular" w:eastAsia="Times New Roman" w:hAnsi="PTSerifRegular" w:cs="Times New Roman"/>
          <w:color w:val="000000"/>
          <w:sz w:val="23"/>
          <w:szCs w:val="23"/>
          <w:lang w:eastAsia="ru-RU"/>
        </w:rPr>
        <w:lastRenderedPageBreak/>
        <w:t>бытового газа в баллонах), отопление (теплоснабжение, в том числе поставки твердого топлива при наличии печного отопления).</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Размер платы за коммунальные услуги рассчитывается по тарифам, установленным органами государственной власти субъектов Российской Федерации.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Расчет размера платы за коммунальные услуги производится в соответствии с пунктами 51 и 52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В случае отсутствия в жилом помещении индивидуальных приборов учета из общего объема потребленных коммунальных услуг, определяемых по показаниям коллективного (общедомового) прибора учета коммунальных услуг, вычитаются услуги, потребляемые службами образовательной организации, расположенными в здании общежития, и арендаторами. Из общего объема потребленной коммунальной услуги по электроснабжению вычитается объем потребленной электроэнергии за пользование в жилых комнатах личными энергоемкими электропотребляющими приборами и аппаратурой. Обучающиеся дополнительно оплачивают пользование данными электропотребляющими приборами и аппаратурой.</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При определении размера платы за коммунальные услуги для обучающихся за счет средств субсидии на финансовое обеспечение выполнения государственного задания рекомендуется установить коэффициент 0,5, учитывающий получаемую образовательной организацией субсидию на финансовое обеспечение выполнения государственного задания.</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Размер платы за проживание в общежитии принимается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утверждается локальным нормативным актом и не может быть больше значений, рассчитываемых по формуле, указанной в настоящих методических рекомендациях. Образовательная организация обязана по запросу советов обучающихся и представительных органов обучающихся предоставлять всю необходимую информацию по расчету платы за проживание в общежитии, включая показания индивидуальных или домовых приборов учета.</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Размер платы за проживание в общежитии рассчитывается следующим образом:</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inherit" w:eastAsia="Times New Roman" w:hAnsi="inherit" w:cs="Times New Roman"/>
          <w:color w:val="000000"/>
          <w:sz w:val="23"/>
          <w:szCs w:val="23"/>
          <w:bdr w:val="none" w:sz="0" w:space="0" w:color="auto" w:frame="1"/>
          <w:lang w:eastAsia="ru-RU"/>
        </w:rPr>
        <w:t>R</w:t>
      </w:r>
      <w:r w:rsidRPr="00C8794D">
        <w:rPr>
          <w:rFonts w:ascii="inherit" w:eastAsia="Times New Roman" w:hAnsi="inherit" w:cs="Times New Roman"/>
          <w:color w:val="000000"/>
          <w:sz w:val="17"/>
          <w:szCs w:val="17"/>
          <w:bdr w:val="none" w:sz="0" w:space="0" w:color="auto" w:frame="1"/>
          <w:vertAlign w:val="subscript"/>
          <w:lang w:eastAsia="ru-RU"/>
        </w:rPr>
        <w:t>общ</w:t>
      </w:r>
      <w:r w:rsidRPr="00C8794D">
        <w:rPr>
          <w:rFonts w:ascii="inherit" w:eastAsia="Times New Roman" w:hAnsi="inherit" w:cs="Times New Roman"/>
          <w:color w:val="000000"/>
          <w:sz w:val="23"/>
          <w:szCs w:val="23"/>
          <w:bdr w:val="none" w:sz="0" w:space="0" w:color="auto" w:frame="1"/>
          <w:lang w:eastAsia="ru-RU"/>
        </w:rPr>
        <w:t>= Р</w:t>
      </w:r>
      <w:r w:rsidRPr="00C8794D">
        <w:rPr>
          <w:rFonts w:ascii="inherit" w:eastAsia="Times New Roman" w:hAnsi="inherit" w:cs="Times New Roman"/>
          <w:color w:val="000000"/>
          <w:sz w:val="17"/>
          <w:szCs w:val="17"/>
          <w:bdr w:val="none" w:sz="0" w:space="0" w:color="auto" w:frame="1"/>
          <w:vertAlign w:val="subscript"/>
          <w:lang w:eastAsia="ru-RU"/>
        </w:rPr>
        <w:t>п </w:t>
      </w:r>
      <w:r w:rsidRPr="00C8794D">
        <w:rPr>
          <w:rFonts w:ascii="inherit" w:eastAsia="Times New Roman" w:hAnsi="inherit" w:cs="Times New Roman"/>
          <w:color w:val="000000"/>
          <w:sz w:val="23"/>
          <w:szCs w:val="23"/>
          <w:bdr w:val="none" w:sz="0" w:space="0" w:color="auto" w:frame="1"/>
          <w:lang w:eastAsia="ru-RU"/>
        </w:rPr>
        <w:t>+ Р</w:t>
      </w:r>
      <w:r w:rsidRPr="00C8794D">
        <w:rPr>
          <w:rFonts w:ascii="inherit" w:eastAsia="Times New Roman" w:hAnsi="inherit" w:cs="Times New Roman"/>
          <w:color w:val="000000"/>
          <w:sz w:val="17"/>
          <w:szCs w:val="17"/>
          <w:bdr w:val="none" w:sz="0" w:space="0" w:color="auto" w:frame="1"/>
          <w:vertAlign w:val="subscript"/>
          <w:lang w:eastAsia="ru-RU"/>
        </w:rPr>
        <w:t>к </w:t>
      </w:r>
      <w:r w:rsidRPr="00C8794D">
        <w:rPr>
          <w:rFonts w:ascii="inherit" w:eastAsia="Times New Roman" w:hAnsi="inherit" w:cs="Times New Roman"/>
          <w:color w:val="000000"/>
          <w:sz w:val="23"/>
          <w:szCs w:val="23"/>
          <w:bdr w:val="none" w:sz="0" w:space="0" w:color="auto" w:frame="1"/>
          <w:lang w:eastAsia="ru-RU"/>
        </w:rPr>
        <w:t>х К</w:t>
      </w:r>
      <w:r w:rsidRPr="00C8794D">
        <w:rPr>
          <w:rFonts w:ascii="inherit" w:eastAsia="Times New Roman" w:hAnsi="inherit" w:cs="Times New Roman"/>
          <w:color w:val="000000"/>
          <w:sz w:val="17"/>
          <w:szCs w:val="17"/>
          <w:bdr w:val="none" w:sz="0" w:space="0" w:color="auto" w:frame="1"/>
          <w:vertAlign w:val="subscript"/>
          <w:lang w:eastAsia="ru-RU"/>
        </w:rPr>
        <w:t>б,</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inherit" w:eastAsia="Times New Roman" w:hAnsi="inherit" w:cs="Times New Roman"/>
          <w:color w:val="000000"/>
          <w:sz w:val="23"/>
          <w:szCs w:val="23"/>
          <w:bdr w:val="none" w:sz="0" w:space="0" w:color="auto" w:frame="1"/>
          <w:lang w:eastAsia="ru-RU"/>
        </w:rPr>
        <w:t>где:</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R</w:t>
      </w:r>
      <w:r w:rsidRPr="00C8794D">
        <w:rPr>
          <w:rFonts w:ascii="inherit" w:eastAsia="Times New Roman" w:hAnsi="inherit" w:cs="Times New Roman"/>
          <w:color w:val="000000"/>
          <w:sz w:val="17"/>
          <w:szCs w:val="17"/>
          <w:bdr w:val="none" w:sz="0" w:space="0" w:color="auto" w:frame="1"/>
          <w:vertAlign w:val="subscript"/>
          <w:lang w:eastAsia="ru-RU"/>
        </w:rPr>
        <w:t>общ</w:t>
      </w:r>
      <w:r w:rsidRPr="00C8794D">
        <w:rPr>
          <w:rFonts w:ascii="PTSerifRegular" w:eastAsia="Times New Roman" w:hAnsi="PTSerifRegular" w:cs="Times New Roman"/>
          <w:color w:val="000000"/>
          <w:sz w:val="23"/>
          <w:szCs w:val="23"/>
          <w:lang w:eastAsia="ru-RU"/>
        </w:rPr>
        <w:t> - размер платы за проживание в общежитии;</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w:t>
      </w:r>
      <w:r w:rsidRPr="00C8794D">
        <w:rPr>
          <w:rFonts w:ascii="inherit" w:eastAsia="Times New Roman" w:hAnsi="inherit" w:cs="Times New Roman"/>
          <w:color w:val="000000"/>
          <w:sz w:val="17"/>
          <w:szCs w:val="17"/>
          <w:bdr w:val="none" w:sz="0" w:space="0" w:color="auto" w:frame="1"/>
          <w:vertAlign w:val="subscript"/>
          <w:lang w:eastAsia="ru-RU"/>
        </w:rPr>
        <w:t>п</w:t>
      </w:r>
      <w:r w:rsidRPr="00C8794D">
        <w:rPr>
          <w:rFonts w:ascii="PTSerifRegular" w:eastAsia="Times New Roman" w:hAnsi="PTSerifRegular" w:cs="Times New Roman"/>
          <w:color w:val="000000"/>
          <w:sz w:val="23"/>
          <w:szCs w:val="23"/>
          <w:lang w:eastAsia="ru-RU"/>
        </w:rPr>
        <w:t> - ежемесячная плата за пользование жилым помещением в общежитии;</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Р</w:t>
      </w:r>
      <w:r w:rsidRPr="00C8794D">
        <w:rPr>
          <w:rFonts w:ascii="inherit" w:eastAsia="Times New Roman" w:hAnsi="inherit" w:cs="Times New Roman"/>
          <w:color w:val="000000"/>
          <w:sz w:val="17"/>
          <w:szCs w:val="17"/>
          <w:bdr w:val="none" w:sz="0" w:space="0" w:color="auto" w:frame="1"/>
          <w:vertAlign w:val="subscript"/>
          <w:lang w:eastAsia="ru-RU"/>
        </w:rPr>
        <w:t>к</w:t>
      </w:r>
      <w:r w:rsidRPr="00C8794D">
        <w:rPr>
          <w:rFonts w:ascii="PTSerifRegular" w:eastAsia="Times New Roman" w:hAnsi="PTSerifRegular" w:cs="Times New Roman"/>
          <w:color w:val="000000"/>
          <w:sz w:val="23"/>
          <w:szCs w:val="23"/>
          <w:lang w:eastAsia="ru-RU"/>
        </w:rPr>
        <w:t> - размер платы за коммунальные услуги;</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К</w:t>
      </w:r>
      <w:r w:rsidRPr="00C8794D">
        <w:rPr>
          <w:rFonts w:ascii="inherit" w:eastAsia="Times New Roman" w:hAnsi="inherit" w:cs="Times New Roman"/>
          <w:color w:val="000000"/>
          <w:sz w:val="17"/>
          <w:szCs w:val="17"/>
          <w:bdr w:val="none" w:sz="0" w:space="0" w:color="auto" w:frame="1"/>
          <w:vertAlign w:val="subscript"/>
          <w:lang w:eastAsia="ru-RU"/>
        </w:rPr>
        <w:t>б</w:t>
      </w:r>
      <w:r w:rsidRPr="00C8794D">
        <w:rPr>
          <w:rFonts w:ascii="PTSerifRegular" w:eastAsia="Times New Roman" w:hAnsi="PTSerifRegular" w:cs="Times New Roman"/>
          <w:color w:val="000000"/>
          <w:sz w:val="23"/>
          <w:szCs w:val="23"/>
          <w:lang w:eastAsia="ru-RU"/>
        </w:rPr>
        <w:t> - коэффициент, учитывающий получаемую образовательной организацией субсидию на финансовое обеспечение выполнения государственного задания.</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Не взимается плата за проживание в общежитии с категорий обучающихся, указанных в </w:t>
      </w:r>
      <w:hyperlink r:id="rId5" w:anchor="st39_4" w:tooltip="Федеральный закон от 29.12.2012 № 273-ФЗ (ред. от 05.05.2014) &quot;Об образовании в Российской Федерации&quot; (с изм. и доп., вступ. в силу с 06.05.2014){КонсультантПлюс}" w:history="1">
        <w:r w:rsidRPr="00C8794D">
          <w:rPr>
            <w:rFonts w:ascii="inherit" w:eastAsia="Times New Roman" w:hAnsi="inherit" w:cs="Times New Roman"/>
            <w:color w:val="0079CC"/>
            <w:sz w:val="23"/>
            <w:szCs w:val="23"/>
            <w:bdr w:val="none" w:sz="0" w:space="0" w:color="auto" w:frame="1"/>
            <w:lang w:eastAsia="ru-RU"/>
          </w:rPr>
          <w:t>части 4 статьи 39</w:t>
        </w:r>
      </w:hyperlink>
      <w:r w:rsidRPr="00C8794D">
        <w:rPr>
          <w:rFonts w:ascii="PTSerifRegular" w:eastAsia="Times New Roman" w:hAnsi="PTSerifRegular" w:cs="Times New Roman"/>
          <w:color w:val="000000"/>
          <w:sz w:val="23"/>
          <w:szCs w:val="23"/>
          <w:lang w:eastAsia="ru-RU"/>
        </w:rPr>
        <w:t> и </w:t>
      </w:r>
      <w:hyperlink r:id="rId6" w:anchor="st36_5" w:tooltip="Федеральный закон от 29.12.2012 № 273-ФЗ (ред. от 05.05.2014) &quot;Об образовании в Российской Федерации&quot; (с изм. и доп., вступ. в силу с 06.05.2014){КонсультантПлюс}" w:history="1">
        <w:r w:rsidRPr="00C8794D">
          <w:rPr>
            <w:rFonts w:ascii="inherit" w:eastAsia="Times New Roman" w:hAnsi="inherit" w:cs="Times New Roman"/>
            <w:color w:val="0079CC"/>
            <w:sz w:val="23"/>
            <w:szCs w:val="23"/>
            <w:bdr w:val="none" w:sz="0" w:space="0" w:color="auto" w:frame="1"/>
            <w:lang w:eastAsia="ru-RU"/>
          </w:rPr>
          <w:t>части 5 статьи 36</w:t>
        </w:r>
      </w:hyperlink>
      <w:r w:rsidRPr="00C8794D">
        <w:rPr>
          <w:rFonts w:ascii="PTSerifRegular" w:eastAsia="Times New Roman" w:hAnsi="PTSerifRegular" w:cs="Times New Roman"/>
          <w:color w:val="000000"/>
          <w:sz w:val="23"/>
          <w:szCs w:val="23"/>
          <w:lang w:eastAsia="ru-RU"/>
        </w:rPr>
        <w:t> Закона об образовании.</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В соответствии с </w:t>
      </w:r>
      <w:hyperlink r:id="rId7" w:anchor="st39_3" w:tooltip="Федеральный закон от 29.12.2012 № 273-ФЗ (ред. от 05.05.2014) &quot;Об образовании в Российской Федерации&quot; (с изм. и доп., вступ. в силу с 06.05.2014){КонсультантПлюс}" w:history="1">
        <w:r w:rsidRPr="00C8794D">
          <w:rPr>
            <w:rFonts w:ascii="inherit" w:eastAsia="Times New Roman" w:hAnsi="inherit" w:cs="Times New Roman"/>
            <w:color w:val="0079CC"/>
            <w:sz w:val="23"/>
            <w:szCs w:val="23"/>
            <w:bdr w:val="none" w:sz="0" w:space="0" w:color="auto" w:frame="1"/>
            <w:lang w:eastAsia="ru-RU"/>
          </w:rPr>
          <w:t>частью 3 статьи 39</w:t>
        </w:r>
      </w:hyperlink>
      <w:r w:rsidRPr="00C8794D">
        <w:rPr>
          <w:rFonts w:ascii="PTSerifRegular" w:eastAsia="Times New Roman" w:hAnsi="PTSerifRegular" w:cs="Times New Roman"/>
          <w:color w:val="000000"/>
          <w:sz w:val="23"/>
          <w:szCs w:val="23"/>
          <w:lang w:eastAsia="ru-RU"/>
        </w:rPr>
        <w:t> Закона об образовании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xml:space="preserve">В общежитии обучающимся исключительно по их желанию за плату могут оказываться дополнительные бытовые услуги. Порядок оказания данных услуг и их оплата регулируются отдельным соглашением между образовательной организацией и обучающимся. Обучающиеся, </w:t>
      </w:r>
      <w:r w:rsidRPr="00C8794D">
        <w:rPr>
          <w:rFonts w:ascii="PTSerifRegular" w:eastAsia="Times New Roman" w:hAnsi="PTSerifRegular" w:cs="Times New Roman"/>
          <w:color w:val="000000"/>
          <w:sz w:val="23"/>
          <w:szCs w:val="23"/>
          <w:lang w:eastAsia="ru-RU"/>
        </w:rPr>
        <w:lastRenderedPageBreak/>
        <w:t>проживающие в общежитии, вправе отказаться от предоставления дополнительных бытовых услуг в случае, если они в них не нуждаются, или по иным причинам. Размер платы за дополнительные бытовые услуги принимается с учетом мнения советов обучающихся и представительных органов обучающихся в организации, осуществляющей образовательную деятельность (при их наличии).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В плату за проживание в общежитии и дополнительные бытовые услуги не должны включаться расходы, связанные с оплатой труда административно-управленческого, обслуживающего и иного персонала (в том числе налоги, страховые взносы и другие выплаты), расходы, связанные с обеспечением безопасности проживания, в том числе с проведением антитеррористических мероприятий (услуги по охране общежития, в том числе организации пропускного режима, установке охранной сигнализации в жилых комнатах, организации видеонаблюдения и т.д.) и противопожарной безопасности.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Также в плату за проживание в общежитии и дополнительные бытовые услуги не должны включатся затраты на содержание и ремонт жилых помещений, к которым, в частности, относятся затраты на:</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уборку и санитарно-гигиеническую очистку помещений общего пользования;</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сбор и вывоз твердых и жидких бытовых отходов;</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соблюдение мер пожарной безопасности в соответствии с законодательством Российской Федерации о пожарной безопасности;</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проведение обязательных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8794D" w:rsidRPr="00C8794D" w:rsidRDefault="00C8794D" w:rsidP="00C8794D">
      <w:pPr>
        <w:shd w:val="clear" w:color="auto" w:fill="FFFFFF"/>
        <w:spacing w:before="75" w:after="75"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Образовательная организация не может вводить обязательные для обучающихся, проживающих в общежитии, услуги, а также на платной основе предоставлять доступ в помещения общего пользования.</w:t>
      </w:r>
    </w:p>
    <w:p w:rsidR="00C8794D" w:rsidRPr="00C8794D" w:rsidRDefault="00C8794D" w:rsidP="00C8794D">
      <w:pPr>
        <w:shd w:val="clear" w:color="auto" w:fill="FFFFFF"/>
        <w:spacing w:after="0" w:line="240" w:lineRule="auto"/>
        <w:ind w:firstLine="300"/>
        <w:jc w:val="both"/>
        <w:textAlignment w:val="baseline"/>
        <w:rPr>
          <w:rFonts w:ascii="PTSerifRegular" w:eastAsia="Times New Roman" w:hAnsi="PTSerifRegular" w:cs="Times New Roman"/>
          <w:color w:val="000000"/>
          <w:sz w:val="23"/>
          <w:szCs w:val="23"/>
          <w:lang w:eastAsia="ru-RU"/>
        </w:rPr>
      </w:pPr>
      <w:r w:rsidRPr="00C8794D">
        <w:rPr>
          <w:rFonts w:ascii="PTSerifRegular" w:eastAsia="Times New Roman" w:hAnsi="PTSerifRegular" w:cs="Times New Roman"/>
          <w:color w:val="000000"/>
          <w:sz w:val="23"/>
          <w:szCs w:val="23"/>
          <w:lang w:eastAsia="ru-RU"/>
        </w:rPr>
        <w:t>Образовательная организация в соответствии с </w:t>
      </w:r>
      <w:hyperlink r:id="rId8" w:anchor="st29_2_1_o" w:tooltip="Федеральный закон от 29.12.2012 № 273-ФЗ (ред. от 05.05.2014) &quot;Об образовании в Российской Федерации&quot; (с изм. и доп., вступ. в силу с 06.05.2014){КонсультантПлюс}" w:history="1">
        <w:r w:rsidRPr="00C8794D">
          <w:rPr>
            <w:rFonts w:ascii="inherit" w:eastAsia="Times New Roman" w:hAnsi="inherit" w:cs="Times New Roman"/>
            <w:color w:val="0079CC"/>
            <w:sz w:val="23"/>
            <w:szCs w:val="23"/>
            <w:bdr w:val="none" w:sz="0" w:space="0" w:color="auto" w:frame="1"/>
            <w:lang w:eastAsia="ru-RU"/>
          </w:rPr>
          <w:t>подпунктом "о" пункта 1 части 2 статьи 29</w:t>
        </w:r>
      </w:hyperlink>
      <w:r w:rsidRPr="00C8794D">
        <w:rPr>
          <w:rFonts w:ascii="PTSerifRegular" w:eastAsia="Times New Roman" w:hAnsi="PTSerifRegular" w:cs="Times New Roman"/>
          <w:color w:val="000000"/>
          <w:sz w:val="23"/>
          <w:szCs w:val="23"/>
          <w:lang w:eastAsia="ru-RU"/>
        </w:rPr>
        <w:t> Закона об образовании и </w:t>
      </w:r>
      <w:hyperlink r:id="rId9" w:anchor="p3_a_41" w:tooltip="Постановление Правительства РФ от 10.07.2013 №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 w:history="1">
        <w:r w:rsidRPr="00C8794D">
          <w:rPr>
            <w:rFonts w:ascii="inherit" w:eastAsia="Times New Roman" w:hAnsi="inherit" w:cs="Times New Roman"/>
            <w:color w:val="0079CC"/>
            <w:sz w:val="23"/>
            <w:szCs w:val="23"/>
            <w:bdr w:val="none" w:sz="0" w:space="0" w:color="auto" w:frame="1"/>
            <w:lang w:eastAsia="ru-RU"/>
          </w:rPr>
          <w:t>абзацем 41 подпункта "а" пункта 3</w:t>
        </w:r>
      </w:hyperlink>
      <w:r w:rsidRPr="00C8794D">
        <w:rPr>
          <w:rFonts w:ascii="PTSerifRegular" w:eastAsia="Times New Roman" w:hAnsi="PTSerifRegular" w:cs="Times New Roman"/>
          <w:color w:val="000000"/>
          <w:sz w:val="23"/>
          <w:szCs w:val="23"/>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w:t>
      </w:r>
      <w:hyperlink r:id="rId10" w:history="1">
        <w:r w:rsidRPr="00C8794D">
          <w:rPr>
            <w:rFonts w:ascii="inherit" w:eastAsia="Times New Roman" w:hAnsi="inherit" w:cs="Times New Roman"/>
            <w:color w:val="0079CC"/>
            <w:sz w:val="23"/>
            <w:szCs w:val="23"/>
            <w:bdr w:val="none" w:sz="0" w:space="0" w:color="auto" w:frame="1"/>
            <w:lang w:eastAsia="ru-RU"/>
          </w:rPr>
          <w:t>постановлением</w:t>
        </w:r>
      </w:hyperlink>
      <w:r w:rsidRPr="00C8794D">
        <w:rPr>
          <w:rFonts w:ascii="PTSerifRegular" w:eastAsia="Times New Roman" w:hAnsi="PTSerifRegular" w:cs="Times New Roman"/>
          <w:color w:val="000000"/>
          <w:sz w:val="23"/>
          <w:szCs w:val="23"/>
          <w:lang w:eastAsia="ru-RU"/>
        </w:rPr>
        <w:t> Правительства Российской Федерации от 10 июля 2013 г. № 582, размещает на своем официальном сайте информацию об условиях предоставления жилого помещения в общежитии и о размере платы за пользование жилым помещением и коммунальные услуги в общежитии с приложением копии локального нормативного акта, регламентирующего размер платы и обоснованного расчета стоимости платы за коммунальные и дополнительные бытовые услуги.</w:t>
      </w:r>
    </w:p>
    <w:p w:rsidR="009821F5" w:rsidRDefault="009821F5"/>
    <w:p w:rsidR="00C8794D" w:rsidRDefault="00C8794D"/>
    <w:p w:rsidR="00C8794D" w:rsidRDefault="00C8794D">
      <w:r>
        <w:t xml:space="preserve">Источник: </w:t>
      </w:r>
      <w:hyperlink r:id="rId11" w:history="1">
        <w:r w:rsidRPr="006F552A">
          <w:rPr>
            <w:rStyle w:val="a3"/>
          </w:rPr>
          <w:t>http://xn--273--84d1f.xn--p1ai/akty_minobrnauki_rossii/pismo-minobrnauki-rf-ot-26032014-no-09-567</w:t>
        </w:r>
      </w:hyperlink>
      <w:r>
        <w:t xml:space="preserve"> </w:t>
      </w:r>
      <w:bookmarkStart w:id="0" w:name="_GoBack"/>
      <w:bookmarkEnd w:id="0"/>
    </w:p>
    <w:sectPr w:rsidR="00C87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TSansRegular">
    <w:altName w:val="Times New Roman"/>
    <w:charset w:val="00"/>
    <w:family w:val="auto"/>
    <w:pitch w:val="default"/>
  </w:font>
  <w:font w:name="inherit">
    <w:altName w:val="Times New Roman"/>
    <w:panose1 w:val="00000000000000000000"/>
    <w:charset w:val="00"/>
    <w:family w:val="roman"/>
    <w:notTrueType/>
    <w:pitch w:val="default"/>
  </w:font>
  <w:font w:name="PTSerif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D"/>
    <w:rsid w:val="009821F5"/>
    <w:rsid w:val="00C8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2C276-ABA5-48B7-8168-40A714EB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879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79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879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79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794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8794D"/>
    <w:rPr>
      <w:rFonts w:ascii="Times New Roman" w:eastAsia="Times New Roman" w:hAnsi="Times New Roman" w:cs="Times New Roman"/>
      <w:b/>
      <w:bCs/>
      <w:sz w:val="24"/>
      <w:szCs w:val="24"/>
      <w:lang w:eastAsia="ru-RU"/>
    </w:rPr>
  </w:style>
  <w:style w:type="paragraph" w:customStyle="1" w:styleId="normacttext">
    <w:name w:val="norm_act_text"/>
    <w:basedOn w:val="a"/>
    <w:rsid w:val="00C87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C8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794D"/>
  </w:style>
  <w:style w:type="character" w:styleId="a3">
    <w:name w:val="Hyperlink"/>
    <w:basedOn w:val="a0"/>
    <w:uiPriority w:val="99"/>
    <w:unhideWhenUsed/>
    <w:rsid w:val="00C87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akty_minobrnauki_rossii/pismo-minobrnauki-rf-ot-26032014-no-09-567" TargetMode="External"/><Relationship Id="rId5" Type="http://schemas.openxmlformats.org/officeDocument/2006/relationships/hyperlink" Target="http://xn--273--84d1f.xn--p1ai/zakonodatelstvo/federalnyy-zakon-ot-29-dekabrya-2012-g-no-273-fz-ob-obrazovanii-v-rf" TargetMode="External"/><Relationship Id="rId15" Type="http://schemas.openxmlformats.org/officeDocument/2006/relationships/customXml" Target="../customXml/item2.xml"/><Relationship Id="rId10" Type="http://schemas.openxmlformats.org/officeDocument/2006/relationships/hyperlink" Target="http://xn--273--84d1f.xn--p1ai/akty_pravitelstva_rf/postanolenie-pravitelstva-rf-ot-10072013-no-582" TargetMode="External"/><Relationship Id="rId4" Type="http://schemas.openxmlformats.org/officeDocument/2006/relationships/hyperlink" Target="http://xn--273--84d1f.xn--p1ai/zakonodatelstvo/federalnyy-zakon-ot-29-dekabrya-2012-g-no-273-fz-ob-obrazovanii-v-rf" TargetMode="External"/><Relationship Id="rId9" Type="http://schemas.openxmlformats.org/officeDocument/2006/relationships/hyperlink" Target="http://xn--273--84d1f.xn--p1ai/akty_pravitelstva_rf/postanolenie-pravitelstva-rf-ot-10072013-no-582"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F0DD23B19F4B419372B724BB749324" ma:contentTypeVersion="49" ma:contentTypeDescription="Создание документа." ma:contentTypeScope="" ma:versionID="353a907fd9bf1192843ec3174183dcc1">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AWJJH2MPE6E2-1908883758-55</_dlc_DocId>
    <_dlc_DocIdUrl xmlns="4a252ca3-5a62-4c1c-90a6-29f4710e47f8">
      <Url>http://xn--44-6kcadhwnl3cfdx.xn--p1ai/koiro/CROS/fros/KRPO/_layouts/15/DocIdRedir.aspx?ID=AWJJH2MPE6E2-1908883758-55</Url>
      <Description>AWJJH2MPE6E2-1908883758-55</Description>
    </_dlc_DocIdUrl>
  </documentManagement>
</p:properties>
</file>

<file path=customXml/itemProps1.xml><?xml version="1.0" encoding="utf-8"?>
<ds:datastoreItem xmlns:ds="http://schemas.openxmlformats.org/officeDocument/2006/customXml" ds:itemID="{BDCCAC10-B5DF-41D0-9A11-6C8816EE8348}"/>
</file>

<file path=customXml/itemProps2.xml><?xml version="1.0" encoding="utf-8"?>
<ds:datastoreItem xmlns:ds="http://schemas.openxmlformats.org/officeDocument/2006/customXml" ds:itemID="{B76B44E4-EA2D-402F-BB4B-C75DC9B11E62}"/>
</file>

<file path=customXml/itemProps3.xml><?xml version="1.0" encoding="utf-8"?>
<ds:datastoreItem xmlns:ds="http://schemas.openxmlformats.org/officeDocument/2006/customXml" ds:itemID="{D1DD89ED-A965-473F-94AA-D6AAB20F0E86}"/>
</file>

<file path=customXml/itemProps4.xml><?xml version="1.0" encoding="utf-8"?>
<ds:datastoreItem xmlns:ds="http://schemas.openxmlformats.org/officeDocument/2006/customXml" ds:itemID="{3DB1A005-49FA-41BD-99AE-08B8BBC5445C}"/>
</file>

<file path=docProps/app.xml><?xml version="1.0" encoding="utf-8"?>
<Properties xmlns="http://schemas.openxmlformats.org/officeDocument/2006/extended-properties" xmlns:vt="http://schemas.openxmlformats.org/officeDocument/2006/docPropsVTypes">
  <Template>Normal</Template>
  <TotalTime>1</TotalTime>
  <Pages>3</Pages>
  <Words>1810</Words>
  <Characters>10317</Characters>
  <Application>Microsoft Office Word</Application>
  <DocSecurity>0</DocSecurity>
  <Lines>85</Lines>
  <Paragraphs>24</Paragraphs>
  <ScaleCrop>false</ScaleCrop>
  <Company>Hewlett-Packard</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2014-09-03T10:44:00Z</dcterms:created>
  <dcterms:modified xsi:type="dcterms:W3CDTF">2014-09-03T10:45:00Z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0x01010024F0DD23B19F4B419372B724BB749324</vt:lpwstr>
  </property>
  <property fmtid="{D5CDD505-2E9C-101B-9397-08002B2CF9AE}" pid="3" name="_dlc_DocIdItemGuid">
    <vt:lpwstr>0be67a60-fb47-4623-a13f-3c0757bc7825</vt:lpwstr>
  </property>
</Properties>
</file>