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3D" w:rsidRPr="00766C3D" w:rsidRDefault="00322F18" w:rsidP="00322F18">
      <w:pPr>
        <w:shd w:val="clear" w:color="auto" w:fill="FFFFFF"/>
        <w:spacing w:line="437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44"/>
          <w:szCs w:val="44"/>
          <w:lang w:eastAsia="ru-RU"/>
        </w:rPr>
        <w:t>Э</w:t>
      </w:r>
      <w:r w:rsidR="00766C3D" w:rsidRPr="00766C3D">
        <w:rPr>
          <w:rFonts w:ascii="Arial" w:eastAsia="Times New Roman" w:hAnsi="Arial" w:cs="Arial"/>
          <w:color w:val="007AD0"/>
          <w:kern w:val="36"/>
          <w:sz w:val="44"/>
          <w:szCs w:val="44"/>
          <w:lang w:eastAsia="ru-RU"/>
        </w:rPr>
        <w:t>лектронный банк ресурсов по функциональной грамотности</w:t>
      </w:r>
    </w:p>
    <w:p w:rsidR="00766C3D" w:rsidRPr="00766C3D" w:rsidRDefault="00766C3D" w:rsidP="00766C3D">
      <w:pPr>
        <w:shd w:val="clear" w:color="auto" w:fill="FFFFFF"/>
        <w:spacing w:after="182" w:line="40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10.04.2021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МИНИСТЕРСТВО ПРОСВЕЩЕНИЯ РОССИЙСКОЙ ФЕДЕРАЦИИ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ПИСЬМО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от 26 января 2021 г. N ТВ-94/04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ОБ ЭЛЕКТРОННОМ БАНКЕ ТРЕНИРОВОЧНЫХ ЗАДАНИЙ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ПО ОЦЕНКЕ ФУНКЦИОНАЛЬНОЙ ГРАМОТНОСТИ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center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proofErr w:type="spellStart"/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Минпросвещения</w:t>
      </w:r>
      <w:proofErr w:type="spellEnd"/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России информирует об открытии для всех образовательных организаций доступа к электронному банку тренировочных заданий по оценке функциональной грамотности (далее - Платформа). 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- формирование банка заданий;</w:t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- формирование проектов тренировочных работ;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- прохождение тренировочной работы </w:t>
      </w:r>
      <w:proofErr w:type="gramStart"/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обучающимися</w:t>
      </w:r>
      <w:proofErr w:type="gramEnd"/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 в режиме реального времени;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1430" cy="1143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- проверку развернутых ответов экспертами;</w:t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- накопление, хранение и обработку результатов тренировочных работ.</w:t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На Платформе можно авторизоваться при помощи учетной записи Российской электронной школы (далее - РЭШ). В случае если учетная запись в РЭШ отсутствует, необходимо пройти регистрацию в РЭШ.</w:t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 xml:space="preserve">После авторизации на Платформе становится доступен функционал создания мероприятий с выбором даты, контрольно-измерительного материала (КИМ) с направлением функциональной грамотности, наименованием мероприятия, а также с указанием количества обучающихся </w:t>
      </w: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lastRenderedPageBreak/>
        <w:t>- участников мероприятия. После прохождения работы обучающимися у учителя на странице с мероприятиями будет отображаться прогресс прохождения работы детьми, а также появится уведомление о необходимости ее проверки.</w:t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Рекомендуем проинформировать образовательные организации о возможности проведения тренировочных работ на Платформе для обучающихся 8 и 9 классов. Срок проведения тренировочных работ - до 31 мая 2021 года.</w:t>
      </w:r>
    </w:p>
    <w:p w:rsidR="00766C3D" w:rsidRPr="00766C3D" w:rsidRDefault="00766C3D" w:rsidP="00766C3D">
      <w:pPr>
        <w:shd w:val="clear" w:color="auto" w:fill="FFFFFF"/>
        <w:spacing w:before="240"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В целях обеспечения возможности повторного участия в мероприятии обучающихся, которые ранее уже выполняли тренировочную работу на Платформе, будут доступны новые варианты КИМ.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Ссылка на систему в сети "Интернет": </w:t>
      </w:r>
      <w:hyperlink r:id="rId7" w:history="1">
        <w:r w:rsidRPr="00766C3D">
          <w:rPr>
            <w:rFonts w:ascii="Tahoma" w:eastAsia="Times New Roman" w:hAnsi="Tahoma" w:cs="Tahoma"/>
            <w:color w:val="007AD0"/>
            <w:sz w:val="26"/>
            <w:lang w:eastAsia="ru-RU"/>
          </w:rPr>
          <w:t>https://fg.resh.edu.ru/</w:t>
        </w:r>
      </w:hyperlink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1430" cy="1143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C3D" w:rsidRPr="00766C3D" w:rsidRDefault="00766C3D" w:rsidP="00766C3D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540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Ссылка на банк ресурсов по ФГ от ИНСТИТУТА СТРАТЕГИИ РАЗВИТИЯ ОБРАЗОВАНИЯ РАО: </w:t>
      </w:r>
      <w:hyperlink r:id="rId8" w:history="1">
        <w:r w:rsidRPr="00766C3D">
          <w:rPr>
            <w:rFonts w:ascii="Tahoma" w:eastAsia="Times New Roman" w:hAnsi="Tahoma" w:cs="Tahoma"/>
            <w:color w:val="007AD0"/>
            <w:sz w:val="26"/>
            <w:lang w:eastAsia="ru-RU"/>
          </w:rPr>
          <w:t>http://skiv.instrao.ru/bank-zadaniy/</w:t>
        </w:r>
      </w:hyperlink>
    </w:p>
    <w:p w:rsidR="00766C3D" w:rsidRPr="00766C3D" w:rsidRDefault="00766C3D" w:rsidP="00766C3D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Познакомиться с полным перечнем дополни тельных профессиональных программ повышения квалификации можно на сайте ГАОУ ДПО СО «ИРО» в разделе «Образовательная деятельность/Повышение квалификации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9" w:history="1">
        <w:r w:rsidRPr="00766C3D">
          <w:rPr>
            <w:rFonts w:ascii="Tahoma" w:eastAsia="Times New Roman" w:hAnsi="Tahoma" w:cs="Tahoma"/>
            <w:color w:val="007AD0"/>
            <w:sz w:val="26"/>
            <w:lang w:eastAsia="ru-RU"/>
          </w:rPr>
          <w:t>https://www.irro.ru/?cid=56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Также обращаем внимание, что в настоящее время разработаны Интернет-ресурсы, </w:t>
      </w:r>
      <w:proofErr w:type="spellStart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контент</w:t>
      </w:r>
      <w:proofErr w:type="spellEnd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которых можно использовать для развития и оценки функциональной грамотности обучающихся: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Электронный банк заданий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 </w:t>
      </w:r>
      <w:hyperlink r:id="rId10" w:tgtFrame="_blank" w:history="1">
        <w:r w:rsidRPr="00766C3D">
          <w:rPr>
            <w:rFonts w:ascii="Tahoma" w:eastAsia="Times New Roman" w:hAnsi="Tahoma" w:cs="Tahoma"/>
            <w:color w:val="007AD0"/>
            <w:sz w:val="26"/>
            <w:lang w:eastAsia="ru-RU"/>
          </w:rPr>
          <w:t>https://fg.resh.edu.ru/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11" w:tgtFrame="_blank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https://resh.edu.ru/instruction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2. Общероссийская оценка по модели PISA. </w:t>
      </w:r>
      <w:proofErr w:type="spellStart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Вебинар</w:t>
      </w:r>
      <w:proofErr w:type="spellEnd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12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https://fioco.ru/vebinar-shkoly-ocenka-pisa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 Открытые задания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13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https://fioco.ru/примеры-задач-pisa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 </w:t>
      </w:r>
      <w:hyperlink r:id="rId14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http://center-imc.ru/wp-content/uploads/2020/02/10120.pdf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5. Банк заданий для формирования и оценки функциональной грамотности обучающихся основной школы (5-9 классы). ФГБНУ Институт </w:t>
      </w:r>
      <w:proofErr w:type="gramStart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15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http://skiv.instrao.ru/bank-zadaniy/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 Демонстрационные материалы для оценки функциональной грамотности учащихся 5 и 7 классов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http://skiv.instrao.ru/support/demonstratsionnye-materialya/.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7. </w:t>
      </w:r>
      <w:proofErr w:type="spellStart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Вебинары</w:t>
      </w:r>
      <w:proofErr w:type="spellEnd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для учителей-предметников по функциональной грамотности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16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https://prosv.ru/webinars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8. Курсы повышения квалификации Академии «Просвещение» («Формирование функциональной грамотности обучающихся как одна из приоритетных задач школы»)</w:t>
      </w:r>
      <w:r w:rsidRPr="00766C3D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17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https://academy.prosv.ru/courses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ind w:firstLine="709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9. </w:t>
      </w:r>
      <w:proofErr w:type="spellStart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Вебинары</w:t>
      </w:r>
      <w:proofErr w:type="spellEnd"/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Академии «Просвещение» для педагогов по формированию функциональной грамотности обучающихся </w:t>
      </w:r>
      <w:hyperlink r:id="rId18" w:history="1">
        <w:r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https://www.youtube.com/watch?v=_om_kIhu7G8&amp;list=PLnnzDpmIo7A13kVCwJiaO_nxx2QyNUZUQ</w:t>
        </w:r>
      </w:hyperlink>
      <w:r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766C3D" w:rsidRPr="00766C3D" w:rsidRDefault="00CF5D87" w:rsidP="00766C3D">
      <w:pPr>
        <w:shd w:val="clear" w:color="auto" w:fill="FFFFFF"/>
        <w:spacing w:after="182" w:line="401" w:lineRule="atLeast"/>
        <w:jc w:val="both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hyperlink r:id="rId19" w:history="1">
        <w:r w:rsidR="00766C3D" w:rsidRPr="00766C3D">
          <w:rPr>
            <w:rFonts w:ascii="Tahoma" w:eastAsia="Times New Roman" w:hAnsi="Tahoma" w:cs="Tahoma"/>
            <w:color w:val="007AD0"/>
            <w:sz w:val="26"/>
            <w:u w:val="single"/>
            <w:lang w:eastAsia="ru-RU"/>
          </w:rPr>
          <w:t>https://www.youtube.com/watch?v=WJ2is6yhgWc&amp;list=PLnnzDpmIo7A3jWM9R3CV87EBWblSABlB5</w:t>
        </w:r>
      </w:hyperlink>
      <w:r w:rsidR="00766C3D" w:rsidRPr="00766C3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Просмотров всего: 3654, сегодня: 13</w:t>
      </w:r>
    </w:p>
    <w:p w:rsidR="00766C3D" w:rsidRPr="00766C3D" w:rsidRDefault="00766C3D" w:rsidP="00766C3D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66C3D">
        <w:rPr>
          <w:rFonts w:ascii="Tahoma" w:eastAsia="Times New Roman" w:hAnsi="Tahoma" w:cs="Tahoma"/>
          <w:color w:val="555555"/>
          <w:sz w:val="26"/>
          <w:lang w:eastAsia="ru-RU"/>
        </w:rPr>
        <w:t> Рейтинг: 5. Оценили: 2.</w:t>
      </w:r>
    </w:p>
    <w:p w:rsidR="00766C3D" w:rsidRPr="00766C3D" w:rsidRDefault="00766C3D" w:rsidP="00766C3D">
      <w:pPr>
        <w:numPr>
          <w:ilvl w:val="0"/>
          <w:numId w:val="1"/>
        </w:numPr>
        <w:shd w:val="clear" w:color="auto" w:fill="FFFFFF"/>
        <w:spacing w:after="0" w:line="401" w:lineRule="atLeast"/>
        <w:ind w:left="128" w:right="109"/>
        <w:textAlignment w:val="top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330960" cy="1330960"/>
            <wp:effectExtent l="19050" t="0" r="2540" b="0"/>
            <wp:docPr id="4" name="Рисунок 4" descr="b8a6584d2a5d55eca202060bbe126867.jpg">
              <a:hlinkClick xmlns:a="http://schemas.openxmlformats.org/drawingml/2006/main" r:id="rId20" tooltip="&quot;b8a6584d2a5d55eca202060bbe12686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8a6584d2a5d55eca202060bbe126867.jpg">
                      <a:hlinkClick r:id="rId20" tooltip="&quot;b8a6584d2a5d55eca202060bbe12686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A28" w:rsidRDefault="00D40A28"/>
    <w:sectPr w:rsidR="00D40A28" w:rsidSect="00D4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BCC"/>
    <w:multiLevelType w:val="multilevel"/>
    <w:tmpl w:val="0E4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66C3D"/>
    <w:rsid w:val="00322F18"/>
    <w:rsid w:val="00766C3D"/>
    <w:rsid w:val="00CF5D87"/>
    <w:rsid w:val="00D4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28"/>
  </w:style>
  <w:style w:type="paragraph" w:styleId="1">
    <w:name w:val="heading 1"/>
    <w:basedOn w:val="a"/>
    <w:link w:val="10"/>
    <w:uiPriority w:val="9"/>
    <w:qFormat/>
    <w:rsid w:val="00766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C3D"/>
  </w:style>
  <w:style w:type="character" w:customStyle="1" w:styleId="link-wrapper-container">
    <w:name w:val="link-wrapper-container"/>
    <w:basedOn w:val="a0"/>
    <w:rsid w:val="00766C3D"/>
  </w:style>
  <w:style w:type="paragraph" w:styleId="a5">
    <w:name w:val="List Paragraph"/>
    <w:basedOn w:val="a"/>
    <w:uiPriority w:val="34"/>
    <w:qFormat/>
    <w:rsid w:val="007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es-container">
    <w:name w:val="rates-container"/>
    <w:basedOn w:val="a0"/>
    <w:rsid w:val="00766C3D"/>
  </w:style>
  <w:style w:type="character" w:customStyle="1" w:styleId="rate-value">
    <w:name w:val="rate-value"/>
    <w:basedOn w:val="a0"/>
    <w:rsid w:val="00766C3D"/>
  </w:style>
  <w:style w:type="character" w:customStyle="1" w:styleId="val">
    <w:name w:val="val"/>
    <w:basedOn w:val="a0"/>
    <w:rsid w:val="00766C3D"/>
  </w:style>
  <w:style w:type="character" w:customStyle="1" w:styleId="rate-count">
    <w:name w:val="rate-count"/>
    <w:basedOn w:val="a0"/>
    <w:rsid w:val="00766C3D"/>
  </w:style>
  <w:style w:type="paragraph" w:styleId="a6">
    <w:name w:val="Balloon Text"/>
    <w:basedOn w:val="a"/>
    <w:link w:val="a7"/>
    <w:uiPriority w:val="99"/>
    <w:semiHidden/>
    <w:unhideWhenUsed/>
    <w:rsid w:val="0076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947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018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48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hyperlink" Target="https://www.youtube.com/watch?v=_om_kIhu7G8&amp;list=PLnnzDpmIo7A13kVCwJiaO_nxx2QyNUZUQ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fioco.ru/vebinar-shkoly-ocenka-pisa" TargetMode="External"/><Relationship Id="rId17" Type="http://schemas.openxmlformats.org/officeDocument/2006/relationships/hyperlink" Target="https://academy.prosv.ru/courses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prosv.ru/webinars" TargetMode="External"/><Relationship Id="rId20" Type="http://schemas.openxmlformats.org/officeDocument/2006/relationships/hyperlink" Target="https://t-62.uralschool.ru/upload/sct_62_new/images/big/cd/41/cd41f89e85f319c43c9e47851b0960f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instruction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://skiv.instrao.ru/bank-zadani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s://www.youtube.com/watch?v=WJ2is6yhgWc&amp;list=PLnnzDpmIo7A3jWM9R3CV87EBWblSABl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ro.ru/?cid=56" TargetMode="External"/><Relationship Id="rId14" Type="http://schemas.openxmlformats.org/officeDocument/2006/relationships/hyperlink" Target="http://center-imc.ru/wp-content/uploads/2020/02/10120.pdf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7QTD6YHHN6JS-815-856</_dlc_DocId>
    <_dlc_DocIdUrl xmlns="2e528b9c-c03d-45d3-a08f-6e77188430e0">
      <Url>http://www.eduportal44.ru/Sudislavl/Raslovo/_layouts/15/DocIdRedir.aspx?ID=7QTD6YHHN6JS-815-856</Url>
      <Description>7QTD6YHHN6JS-815-856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A9B44-2DAE-445F-AECF-058BEA1D4741}"/>
</file>

<file path=customXml/itemProps2.xml><?xml version="1.0" encoding="utf-8"?>
<ds:datastoreItem xmlns:ds="http://schemas.openxmlformats.org/officeDocument/2006/customXml" ds:itemID="{CC6F9FDC-D1FE-40CF-83A2-86E8BC412E57}"/>
</file>

<file path=customXml/itemProps3.xml><?xml version="1.0" encoding="utf-8"?>
<ds:datastoreItem xmlns:ds="http://schemas.openxmlformats.org/officeDocument/2006/customXml" ds:itemID="{5525E1B7-6697-46E3-9EF1-C2B4B5A19EF1}"/>
</file>

<file path=customXml/itemProps4.xml><?xml version="1.0" encoding="utf-8"?>
<ds:datastoreItem xmlns:ds="http://schemas.openxmlformats.org/officeDocument/2006/customXml" ds:itemID="{D0AA3B89-C336-4D66-A91D-2C13AEED4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2022-01-15T17:09:00Z</dcterms:created>
  <dcterms:modified xsi:type="dcterms:W3CDTF">2022-01-16T09:58:00Z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89045d6c-3612-4feb-907e-7363cb5b5deb</vt:lpwstr>
  </property>
</Properties>
</file>