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b/>
          <w:bCs/>
          <w:color w:val="1C4269"/>
          <w:sz w:val="26"/>
          <w:lang w:eastAsia="ru-RU"/>
        </w:rPr>
        <w:t>​​ПОЛОЖЕНИЕ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b/>
          <w:bCs/>
          <w:color w:val="1C4269"/>
          <w:sz w:val="26"/>
          <w:lang w:eastAsia="ru-RU"/>
        </w:rPr>
        <w:t>об областном конкурсе «Серебряный глобус»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b/>
          <w:bCs/>
          <w:color w:val="1C4269"/>
          <w:sz w:val="26"/>
          <w:lang w:eastAsia="ru-RU"/>
        </w:rPr>
        <w:t> 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I. Общие положения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1. Положение определяет сроки и требования к составу участников Конкурса и представляемых ими материалов, организационную форму и содержание конкурсных мероприятий, формированию группы профессиональных и общественных экспертов условия отбора победителей.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2. Конкурс направлен на выявление и поощрение талантливых детей Костромской области.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Задачи конкурса:</w:t>
      </w:r>
    </w:p>
    <w:p w:rsidR="00076E45" w:rsidRPr="00076E45" w:rsidRDefault="00076E45" w:rsidP="00076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выявление талантливых детей, их поддержка и поощрение;</w:t>
      </w:r>
    </w:p>
    <w:p w:rsidR="00076E45" w:rsidRPr="00076E45" w:rsidRDefault="00076E45" w:rsidP="00076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повышение престижа детских достижений в социуме;</w:t>
      </w:r>
    </w:p>
    <w:p w:rsidR="00076E45" w:rsidRPr="00076E45" w:rsidRDefault="00076E45" w:rsidP="00076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популяризации  наиболее ярких достижений детей;</w:t>
      </w:r>
    </w:p>
    <w:p w:rsidR="00076E45" w:rsidRPr="00076E45" w:rsidRDefault="00076E45" w:rsidP="00076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консолидация усилий общественных и государственных структур в поддержке и сопровождении талантливых школьников.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3.                Участниками (номинантами) конкурса могут быть дети в возрасте от 7 до 18 лет - граждане Российской Федерации, обучающиеся в образовательных организациях Костромской области и проявившие себя в одной из конкурсных номинаций в течение 2015 года.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4.                Конкурс проводится по 3 номинациям: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Номинация «Мастерство» - предполагает успешность номинанта в артистической деятельности (изобразительное искусство, хореография, вокал, музыка, литература и поэзия, оригинальный жанр, декламация и т.д.), успешность номинанта в области прикладной деятельности и техническом творчестве.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 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Номинация «Лидерство» - предполагает наличие у номинанта высокого уровня коммуникативных способностей, успешность номинанта в социальных проектах и волонтерской деятельности.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Номинация «Открытие» - предполагает успешное участие номинанта в интеллектуальной деятельности, в чрезвычайных ситуациях, предполагает наличие у номинанта подтвержденных достижений, которые не соотносятся к другим номинациям.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5.                Конкурс проходит с 1 марта  по 5 октября 2016 года и включает 3 этапа: муниципальный, межмуниципальный  и региональный.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6.                Муниципальный этап проходит с 1 марта по 31 марта и  включает: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выдвижение претендентов на участие (число участников не ограничено) в конкурсе в одной из  номинаций государственными или общественными структурами и  институтами,  семьёй, соседями, общественными, </w:t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lastRenderedPageBreak/>
        <w:t>производственными, образовательными или другими организациями или инициативными лицами;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информирование об успехах и достижениях номинантов в местных СМИ и Интернет-ресурсах, формирование общественного мнения и групп поддержки;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отбор представителей в Конкурсную комиссию межмуниципального этапа,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сбор претендентами на участие и инициативными лицами (организациями)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номинанта, в том числе, электронного варианта, с информацией о событиях и достижениях номинанта за 2015 год;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подготовку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самопрезентации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номинанта;</w:t>
      </w:r>
    </w:p>
    <w:p w:rsidR="00076E45" w:rsidRPr="00076E45" w:rsidRDefault="00076E45" w:rsidP="00076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регистрацию и размещение представления муниципального органа, осуществляющего управление в сфере образования, и информационной карты  участника в сети Интернет на специальном сайте (узле) конкурса на портале «Образование Костромской области» не позднее  31 марта.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 итогам муниципального этапа формируется и публикуется реестр участников Конкурса по номинациям.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7.                Прием заявительных материалов, собранных в соответствии с требованиями, проводится 4 – 5 апреля в помещении ГКУ ДО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«Дворец творчества» по адресу: г. Кострома, ул. 1 Мая, д.12 с 10.00 до 16.00.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Конкурсные материалы (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участника) регистрируются в день проведения собеседования на межмуниципальном этапе и предъявляются для работы Конкурсной комиссии.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8.                Межмуниципальный этап проводится с 1 апреля по 26 апреля в городах Шарья, Галич и Волгореченск и включает:</w:t>
      </w:r>
    </w:p>
    <w:p w:rsidR="00076E45" w:rsidRPr="00076E45" w:rsidRDefault="00076E45" w:rsidP="00076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формирование Конкурсных комиссий межмуниципального этапа и создание условий для работы экспертов;    </w:t>
      </w:r>
    </w:p>
    <w:p w:rsidR="00076E45" w:rsidRPr="00076E45" w:rsidRDefault="00076E45" w:rsidP="00076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формирование групп участников для конкурсного отбора;</w:t>
      </w:r>
    </w:p>
    <w:p w:rsidR="00076E45" w:rsidRPr="00076E45" w:rsidRDefault="00076E45" w:rsidP="00076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конкурсные просмотры и собеседования с участниками, оценку материалов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межмуниципальными Конкурсными комиссиями согласно экспертным картам;</w:t>
      </w:r>
    </w:p>
    <w:p w:rsidR="00076E45" w:rsidRPr="00076E45" w:rsidRDefault="00076E45" w:rsidP="00076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съемку сюжетов с конкурсных отборов Областной телерадиокомпанией «Русь».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9.           По итогам межмуниципального этапа не позднее 28 апреля формируется общий рейтинг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участников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и определяются лауреаты конкурса, допущенные к региональному этапу (27 лауреатов по 9 в каждой из 3 номинаций)</w:t>
      </w:r>
    </w:p>
    <w:p w:rsidR="00076E45" w:rsidRPr="00076E45" w:rsidRDefault="00076E45" w:rsidP="00076E45">
      <w:pPr>
        <w:spacing w:after="24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10.           Региональный этап Конкурса проходит с 28 апреля по 5 октября и включает: </w:t>
      </w:r>
    </w:p>
    <w:p w:rsidR="00076E45" w:rsidRPr="00076E45" w:rsidRDefault="00076E45" w:rsidP="00076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прокат программ о проведении отборочных туров конкурса,</w:t>
      </w:r>
    </w:p>
    <w:p w:rsidR="00076E45" w:rsidRPr="00076E45" w:rsidRDefault="00076E45" w:rsidP="00076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съемки репортажей (визитных карточек) финалистов областной телерадиокомпании «Русь»,</w:t>
      </w:r>
    </w:p>
    <w:p w:rsidR="00076E45" w:rsidRPr="00076E45" w:rsidRDefault="00076E45" w:rsidP="00076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lastRenderedPageBreak/>
        <w:t>прокат фильмов об участниках финала, открытое голосование за лучшего финалиста в каждой номинации и подведение итогов зрительского голосования,</w:t>
      </w:r>
    </w:p>
    <w:p w:rsidR="00076E45" w:rsidRPr="00076E45" w:rsidRDefault="00076E45" w:rsidP="00076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формирование региональной конкурсной комиссии,</w:t>
      </w:r>
    </w:p>
    <w:p w:rsidR="00076E45" w:rsidRPr="00076E45" w:rsidRDefault="00076E45" w:rsidP="00076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экспертизу материалов (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) участника региональной Конкурсной комиссией согласно критериям. 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11.           По итогам регионального этапа не позднее 31 августа региональная Конкурсная комиссия формирует общий рейтинг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участников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и определяются 3 победителя (1,2,3 место) в каждой из 3 номинаций конкурса</w:t>
      </w:r>
    </w:p>
    <w:p w:rsidR="00076E45" w:rsidRPr="00076E45" w:rsidRDefault="00076E45" w:rsidP="00076E45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12.           Финал конкурса проводится 11 сентября и включает:</w:t>
      </w:r>
    </w:p>
    <w:p w:rsidR="00076E45" w:rsidRPr="00076E45" w:rsidRDefault="00076E45" w:rsidP="00076E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концертную программу с участием лауреатов, групп поддержки, экспертов, творческих коллективов,</w:t>
      </w:r>
    </w:p>
    <w:p w:rsidR="00076E45" w:rsidRPr="00076E45" w:rsidRDefault="00076E45" w:rsidP="00076E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объявление победителей открытого голосования,</w:t>
      </w:r>
    </w:p>
    <w:p w:rsidR="00076E45" w:rsidRPr="00076E45" w:rsidRDefault="00076E45" w:rsidP="00076E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объявление и награждение победителей по итогам работы региональной Конкурсной комиссии и открытого голосования,</w:t>
      </w:r>
    </w:p>
    <w:p w:rsidR="00076E45" w:rsidRPr="00076E45" w:rsidRDefault="00076E45" w:rsidP="00076E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съемки финала конкурса.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Телеверсия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программы выходит в эфир 5 октября.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II. Представление и оценивание материалов участников регионального конкурса «Серебряный глобус»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13.           Для участия номинанта в Конкурсе муниципальный орган, осуществляющий управление в сфере образования направляет в организационный комитет Конкурса следующие заявительные материалы:</w:t>
      </w:r>
    </w:p>
    <w:p w:rsidR="00076E45" w:rsidRPr="00076E45" w:rsidRDefault="00076E45" w:rsidP="00076E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представление муниципального органа, осуществляющего управление в сфере образования, с описанием «успеха» номинанта, относящегося к 2015 году, и процедуры выдвижения (приложение 1 к Положению);</w:t>
      </w:r>
    </w:p>
    <w:p w:rsidR="00076E45" w:rsidRPr="00076E45" w:rsidRDefault="00076E45" w:rsidP="00076E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заявление номинанта на участие в конкурсе (приложение 2);</w:t>
      </w:r>
    </w:p>
    <w:p w:rsidR="00076E45" w:rsidRPr="00076E45" w:rsidRDefault="00076E45" w:rsidP="00076E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заявление о согласии родителей на обработку персональных данных участника конкурса (приложение 3);</w:t>
      </w:r>
    </w:p>
    <w:p w:rsidR="00076E45" w:rsidRPr="00076E45" w:rsidRDefault="00076E45" w:rsidP="00076E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цветной фотопортрет 6x4 и жанровую фотографию в электронном виде;</w:t>
      </w:r>
    </w:p>
    <w:p w:rsidR="00076E45" w:rsidRPr="00076E45" w:rsidRDefault="00076E45" w:rsidP="00076E4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информационную карту номинанта конкурса (приложение 4).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14.           Заявительные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Word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» с расширением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rtf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шрифтом 12, через 1 интервал. В каждом файле должны быть указаны фамилия, имя, отчество участника.</w:t>
      </w:r>
    </w:p>
    <w:p w:rsidR="00076E45" w:rsidRPr="00076E45" w:rsidRDefault="00076E45" w:rsidP="00076E45">
      <w:pPr>
        <w:spacing w:after="24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15.           Для участия в конкурсе номинанты представляют конкурсные материалы -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, в том числе, электронном варианте (электронный носитель). 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В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должны быть представлены материалы и документы, подтверждающие достижения номинанта:</w:t>
      </w:r>
    </w:p>
    <w:p w:rsidR="00076E45" w:rsidRPr="00076E45" w:rsidRDefault="00076E45" w:rsidP="00076E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lastRenderedPageBreak/>
        <w:t>дипломы, грамоты, сертификаты, благодарственные письма (копии),</w:t>
      </w:r>
    </w:p>
    <w:p w:rsidR="00076E45" w:rsidRPr="00076E45" w:rsidRDefault="00076E45" w:rsidP="00076E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публикации в СМИ,</w:t>
      </w:r>
    </w:p>
    <w:p w:rsidR="00076E45" w:rsidRPr="00076E45" w:rsidRDefault="00076E45" w:rsidP="00076E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эссе на тему «Что такое успех?» (видеозапись),</w:t>
      </w:r>
    </w:p>
    <w:p w:rsidR="00076E45" w:rsidRPr="00076E45" w:rsidRDefault="00076E45" w:rsidP="00076E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проекты, творческие работы, фотографии, чертежи, видео сюжеты и т.п. по усмотрению номинанта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16.           Материалы, представленные на конкурс, не возвращаются. Материалы, подготовленные с нарушением требований к их оформлению, а также поступившие позднее обозначенного срока, не принимаются.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17.           Участники межмуниципального этапа Конкурса извещаются Оргкомитетом о времени и месте собеседования не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позднее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чем за 14 дней до даты его проведения.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18.            Межмуниципальной Конкурсной комиссии по номинации конкурсанты представляют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, 2 минутное рассуждение по теме номинации и отвечают на вопросы экспертов. 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Конкурсная комиссия заполняет экспертные листы согласно номинации и критериям оценивания.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19.           Межмуниципальный этап Конкурса освещают муниципальные СМИ и журналисты областной телерадиокомпании «Русь».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20.           27 участников конкурса, набравшие наибольшее количество баллов по результатам собеседования с межмуниципальными Конкурсными комиссиями на торжественном приеме награждаются дипломами лауреата и допускаются к региональному этапу Конкурса.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21.           Областная телерадиокомпания «Русь» проводит съемку репортажей (визитных карточек) 27 финалистов, прокат фильмов об участниках финала и организует открытое голосование за лучшего финалиста в каждой номинации.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22.           Региональная Конкурсная комиссия оценивает материалы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участников регионального этапа Конкурса по следующим критериям:</w:t>
      </w:r>
    </w:p>
    <w:p w:rsidR="00076E45" w:rsidRPr="00076E45" w:rsidRDefault="00076E45" w:rsidP="00076E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соответствие заявленной номинации,</w:t>
      </w:r>
    </w:p>
    <w:p w:rsidR="00076E45" w:rsidRPr="00076E45" w:rsidRDefault="00076E45" w:rsidP="00076E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содержательность и цельность представленных материалов,</w:t>
      </w:r>
    </w:p>
    <w:p w:rsidR="00076E45" w:rsidRPr="00076E45" w:rsidRDefault="00076E45" w:rsidP="00076E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доказательность событий (успеха) и характеристик номинанта, </w:t>
      </w:r>
    </w:p>
    <w:p w:rsidR="00076E45" w:rsidRPr="00076E45" w:rsidRDefault="00076E45" w:rsidP="00076E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эмоциональность и позитивность в подаче материалов,</w:t>
      </w:r>
    </w:p>
    <w:p w:rsidR="00076E45" w:rsidRPr="00076E45" w:rsidRDefault="00076E45" w:rsidP="00076E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социальная оценка (признание) и публичность достижения.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23.           Процедура Экспертизы региональной Конкурсной комиссией представляет собой индивидуальную оценку экспертами материалов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номинанта в соответствии с положением Конкурса по 3 балльной системе (0,1,2).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24.           Оценивание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номинанта выполняется не менее чем 5 членами региональной Конкурсной комиссии. Эксперт не имеет права осуществлять экспертизу документов участника конкурса, проживающего в том же муниципальном образовании или являющегося членом того же объединения или творческого коллектива.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lastRenderedPageBreak/>
        <w:t xml:space="preserve">25.          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Общий балл, набранный номинантом на региональном этапе равняется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сумме баллов, поставленной 5 экспертами, баллов, полученных на собеседовании по результатам межмуниципального этапа и итогов открытого голосования, организуемым областной телерадиокомпанией «Русь».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26.           Участники регионального этапа конкурса, занявшие 1, 2 и 3 место по сумме набранных баллов в каждой из 3 конкурсных номинаций объявляются победителями Конкурса и награждаются памятными знаками «Серебряный глобус».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III. Организационный комитет конкурса, Конкурсная комиссия и общественные эксперты Конкурса</w:t>
      </w:r>
    </w:p>
    <w:p w:rsidR="00076E45" w:rsidRPr="00076E45" w:rsidRDefault="00076E45" w:rsidP="00076E45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27.           Организацию Конкурса и консультирование участников осуществляет организационный комитет Конкурса.  Персональный состав оргкомитета утверждается приказом департамента образования и науки Костромской области.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28.           Оргкомитет: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принимает и регистрирует документы номинантов для участия в Конкурсе; 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создает банк данных об участниках Конкурса;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проводит организационный сбор межмуниципальной  и региональной Конкурной комиссии по разъяснению порядка экспертизы;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организует процедуру Конкурса;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формирует рейтинг участников Конкурса по критериям отбора по номинациям в соответствии с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оценочными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заключениям членов межмуниципальной  и региональной Конкурной комиссии;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информирует муниципальные органы, осуществляющие  управление в сфере образования, широкую общественность о порядке, ходе и итогах Конкурса;</w:t>
      </w:r>
    </w:p>
    <w:p w:rsidR="00076E45" w:rsidRPr="00076E45" w:rsidRDefault="00076E45" w:rsidP="00076E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проводит мониторинг Конкурса.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29.    Оргкомитет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30.        Адрес Оргкомитета: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г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. Кострома, м/р-н Юбилейный, д.10, тел/факс 8(4942) 416606,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e-mail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: </w:t>
      </w:r>
      <w:hyperlink r:id="rId5" w:history="1">
        <w:r w:rsidRPr="00076E45">
          <w:rPr>
            <w:rFonts w:ascii="Times New Roman" w:eastAsia="Times New Roman" w:hAnsi="Times New Roman" w:cs="Times New Roman"/>
            <w:color w:val="A55354"/>
            <w:sz w:val="26"/>
            <w:lang w:eastAsia="ru-RU"/>
          </w:rPr>
          <w:t>cdod_kos@mail.ru</w:t>
        </w:r>
      </w:hyperlink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31.       Для оценивания конкурсных материалов межмуниципального этапа формируется группа из 9 экспертов, включающая профессиональное жюри (5 постоянных членов) и представителей муниципальных образований Костромской области (по 4 представителя на каждом межмуниципальном отборе).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 Состав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межмуниципальных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Конкурсных комиссии утверждается приказом департамента и науки Костромской области не позднее 4 апреля 2016 года.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32.    В состав межмуниципальной Конкурсной комиссии по представлению органов, осуществляющих управление в сфере образования, включаются представители муниципальных структур, общественных организаций и </w:t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lastRenderedPageBreak/>
        <w:t>объединений, персоны с общепризнанными достижениями в конкретной области деятельности, в том числе, дети и молодежь, депутаты, журналистская общественность.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33.      Межмуниципальная Конкурсная комиссия проводит экспертизу материалов </w:t>
      </w:r>
      <w:proofErr w:type="spell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портфолио</w:t>
      </w:r>
      <w:proofErr w:type="spell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, собеседование с участниками и отбор участников регионального этапа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Конкурса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по сумме набранных номинантами баллов.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34.          Межмуниципальная Конкурсная комиссия вправе отклонить работу участникам по причине низкого качества представленного содержания или оформления.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35.        Для оценивания конкурсных материалов регионального этапа и определения финалистов конкурса формируется региональная Конкурсная комиссия, включающая профессиональное жюри (5 постоянных членов) и представителей общественности.</w:t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szCs w:val="26"/>
          <w:lang w:eastAsia="ru-RU"/>
        </w:rPr>
        <w:br/>
      </w: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Состав региональной Конкурсной комиссии утверждается приказом </w:t>
      </w:r>
      <w:proofErr w:type="gramStart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департамента</w:t>
      </w:r>
      <w:proofErr w:type="gramEnd"/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 xml:space="preserve"> и науки Костромской области нет позднее 14 июня 2016 года.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076E45">
        <w:rPr>
          <w:rFonts w:ascii="Times New Roman" w:eastAsia="Times New Roman" w:hAnsi="Times New Roman" w:cs="Times New Roman"/>
          <w:color w:val="1C4269"/>
          <w:sz w:val="26"/>
          <w:lang w:eastAsia="ru-RU"/>
        </w:rPr>
        <w:t>36.        В состав региональной Конкурсной комиссии по представлению соответствующих структур и организаций, включаются представители региональных структур, общественных организаций и объединений, персоны с общепризнанными достижениями в конкретной области деятельности, депутаты, журналистская общественность. </w:t>
      </w:r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6" w:history="1">
        <w:r>
          <w:rPr>
            <w:rFonts w:ascii="Segoe UI" w:eastAsia="Times New Roman" w:hAnsi="Segoe UI" w:cs="Segoe UI"/>
            <w:noProof/>
            <w:color w:val="A55354"/>
            <w:sz w:val="20"/>
            <w:szCs w:val="20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1" name="Рисунок 1" descr="http://www.eduportal44.ru/_layouts/15/images/icdocx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duportal44.ru/_layouts/15/images/icdocx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 xml:space="preserve">Заявка на участие в </w:t>
        </w:r>
        <w:proofErr w:type="spellStart"/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>конкурсе.docx</w:t>
        </w:r>
        <w:proofErr w:type="spellEnd"/>
      </w:hyperlink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8" w:history="1">
        <w:r>
          <w:rPr>
            <w:rFonts w:ascii="Segoe UI" w:eastAsia="Times New Roman" w:hAnsi="Segoe UI" w:cs="Segoe UI"/>
            <w:noProof/>
            <w:color w:val="A55354"/>
            <w:sz w:val="20"/>
            <w:szCs w:val="20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2" name="Рисунок 2" descr="http://www.eduportal44.ru/_layouts/15/images/icdoc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eduportal44.ru/_layouts/15/images/icdoc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 xml:space="preserve">Заявление родителей о согласии на участие в </w:t>
        </w:r>
        <w:proofErr w:type="spellStart"/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>конкурсе.docx</w:t>
        </w:r>
        <w:proofErr w:type="spellEnd"/>
      </w:hyperlink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9" w:history="1">
        <w:r>
          <w:rPr>
            <w:rFonts w:ascii="Segoe UI" w:eastAsia="Times New Roman" w:hAnsi="Segoe UI" w:cs="Segoe UI"/>
            <w:noProof/>
            <w:color w:val="A55354"/>
            <w:sz w:val="20"/>
            <w:szCs w:val="20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3" name="Рисунок 3" descr="http://www.eduportal44.ru/_layouts/15/images/icdocx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eduportal44.ru/_layouts/15/images/icdocx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 xml:space="preserve">Информационная карта </w:t>
        </w:r>
        <w:proofErr w:type="spellStart"/>
        <w:r w:rsidRPr="00076E45">
          <w:rPr>
            <w:rFonts w:ascii="Segoe UI" w:eastAsia="Times New Roman" w:hAnsi="Segoe UI" w:cs="Segoe UI"/>
            <w:color w:val="A55354"/>
            <w:sz w:val="20"/>
            <w:lang w:eastAsia="ru-RU"/>
          </w:rPr>
          <w:t>участника.docx</w:t>
        </w:r>
        <w:proofErr w:type="spellEnd"/>
      </w:hyperlink>
    </w:p>
    <w:p w:rsidR="00076E45" w:rsidRPr="00076E45" w:rsidRDefault="00076E45" w:rsidP="00076E45">
      <w:pPr>
        <w:spacing w:after="15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10" w:history="1">
        <w:r>
          <w:rPr>
            <w:rFonts w:ascii="Segoe UI" w:eastAsia="Times New Roman" w:hAnsi="Segoe UI" w:cs="Segoe UI"/>
            <w:noProof/>
            <w:color w:val="A55354"/>
            <w:sz w:val="20"/>
            <w:szCs w:val="20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4" name="Рисунок 4" descr="http://www.eduportal44.ru/_layouts/15/images/icdocx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eduportal44.ru/_layouts/15/images/icdocx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76E45">
          <w:rPr>
            <w:rFonts w:ascii="Segoe UI" w:eastAsia="Times New Roman" w:hAnsi="Segoe UI" w:cs="Segoe UI"/>
            <w:color w:val="A55354"/>
            <w:sz w:val="20"/>
            <w:u w:val="single"/>
            <w:lang w:eastAsia="ru-RU"/>
          </w:rPr>
          <w:t xml:space="preserve">Представление </w:t>
        </w:r>
        <w:proofErr w:type="spellStart"/>
        <w:r w:rsidRPr="00076E45">
          <w:rPr>
            <w:rFonts w:ascii="Segoe UI" w:eastAsia="Times New Roman" w:hAnsi="Segoe UI" w:cs="Segoe UI"/>
            <w:color w:val="A55354"/>
            <w:sz w:val="20"/>
            <w:u w:val="single"/>
            <w:lang w:eastAsia="ru-RU"/>
          </w:rPr>
          <w:t>муниципалитета.docx</w:t>
        </w:r>
        <w:proofErr w:type="spellEnd"/>
      </w:hyperlink>
    </w:p>
    <w:p w:rsidR="00C42E60" w:rsidRDefault="00C42E60"/>
    <w:sectPr w:rsidR="00C42E60" w:rsidSect="00C4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CD"/>
    <w:multiLevelType w:val="multilevel"/>
    <w:tmpl w:val="8F2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654C"/>
    <w:multiLevelType w:val="multilevel"/>
    <w:tmpl w:val="D48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0DAA"/>
    <w:multiLevelType w:val="multilevel"/>
    <w:tmpl w:val="A44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E229A"/>
    <w:multiLevelType w:val="multilevel"/>
    <w:tmpl w:val="2C1C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A3F21"/>
    <w:multiLevelType w:val="multilevel"/>
    <w:tmpl w:val="4D1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E7641"/>
    <w:multiLevelType w:val="multilevel"/>
    <w:tmpl w:val="D084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362BF"/>
    <w:multiLevelType w:val="multilevel"/>
    <w:tmpl w:val="1FA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77A80"/>
    <w:multiLevelType w:val="multilevel"/>
    <w:tmpl w:val="995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49C"/>
    <w:multiLevelType w:val="multilevel"/>
    <w:tmpl w:val="06C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45"/>
    <w:rsid w:val="00076E45"/>
    <w:rsid w:val="001978A2"/>
    <w:rsid w:val="009009FA"/>
    <w:rsid w:val="00C4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076E45"/>
  </w:style>
  <w:style w:type="character" w:styleId="a4">
    <w:name w:val="Strong"/>
    <w:basedOn w:val="a0"/>
    <w:uiPriority w:val="22"/>
    <w:qFormat/>
    <w:rsid w:val="00076E45"/>
    <w:rPr>
      <w:b/>
      <w:bCs/>
    </w:rPr>
  </w:style>
  <w:style w:type="character" w:customStyle="1" w:styleId="apple-converted-space">
    <w:name w:val="apple-converted-space"/>
    <w:basedOn w:val="a0"/>
    <w:rsid w:val="00076E45"/>
  </w:style>
  <w:style w:type="character" w:customStyle="1" w:styleId="ms-rtefontface-3">
    <w:name w:val="ms-rtefontface-3"/>
    <w:basedOn w:val="a0"/>
    <w:rsid w:val="00076E45"/>
  </w:style>
  <w:style w:type="character" w:styleId="a5">
    <w:name w:val="Hyperlink"/>
    <w:basedOn w:val="a0"/>
    <w:uiPriority w:val="99"/>
    <w:semiHidden/>
    <w:unhideWhenUsed/>
    <w:rsid w:val="00076E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G/SiteAssets/SitePages/%D0%9F%D0%BE%D0%BB%D0%BE%D0%B6%D0%B5%D0%BD%D0%B8%D0%B5/%D0%97%D0%B0%D1%8F%D0%B2%D0%BB%D0%B5%D0%BD%D0%B8%D0%B5_%D0%A1%D0%93.doc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G/SiteAssets/SitePages/%D0%9F%D0%BE%D0%BB%D0%BE%D0%B6%D0%B5%D0%BD%D0%B8%D0%B5/%D0%97%D0%B0%D1%8F%D0%B2%D0%BA%D0%B0%20%D0%BD%D0%B0%20%D0%BA%D0%BE%D0%BD%D0%BA%D1%83%D1%80%D1%81%20%D0%A1%D0%93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dod_kos@mail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SG/SiteAssets/SitePages/%D0%9F%D0%BE%D0%BB%D0%BE%D0%B6%D0%B5%D0%BD%D0%B8%D0%B5/%D0%9F%D1%80%D0%B5%D0%B4%D1%81%D1%82%D0%B0%D0%B2%D0%BB%D0%B5%D0%BD%D0%B8%D0%B5%20%D0%BC%D1%83%D0%BD%D0%B8%D1%86%D0%B8%D0%BF%D0%B0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G/SiteAssets/SitePages/%D0%9F%D0%BE%D0%BB%D0%BE%D0%B6%D0%B5%D0%BD%D0%B8%D0%B5/%D0%98%D0%BD%D1%84%D0%BE%D1%80%D0%BC%D0%B0%D1%86%D0%B8%D0%BE%D0%BD%D0%BD%D0%B0%D1%8F%20%D0%BA%D0%B0%D1%80%D1%82%D0%B0%20%D1%83%D1%8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7QTD6YHHN6JS-1195-161</_dlc_DocId>
    <_dlc_DocIdUrl xmlns="2e528b9c-c03d-45d3-a08f-6e77188430e0">
      <Url>http://www.eduportal44.ru/Sudislavl/Gleb/_layouts/15/DocIdRedir.aspx?ID=7QTD6YHHN6JS-1195-161</Url>
      <Description>7QTD6YHHN6JS-1195-161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2C9CD5-8E94-4624-A1CB-CFB4B0A189F1}"/>
</file>

<file path=customXml/itemProps2.xml><?xml version="1.0" encoding="utf-8"?>
<ds:datastoreItem xmlns:ds="http://schemas.openxmlformats.org/officeDocument/2006/customXml" ds:itemID="{0E22974E-5B4A-48B3-8EE4-04F804BF626A}"/>
</file>

<file path=customXml/itemProps3.xml><?xml version="1.0" encoding="utf-8"?>
<ds:datastoreItem xmlns:ds="http://schemas.openxmlformats.org/officeDocument/2006/customXml" ds:itemID="{0632097D-3A77-4777-943A-F2CFFC83701E}"/>
</file>

<file path=customXml/itemProps4.xml><?xml version="1.0" encoding="utf-8"?>
<ds:datastoreItem xmlns:ds="http://schemas.openxmlformats.org/officeDocument/2006/customXml" ds:itemID="{F7479F4C-798B-4A75-A1F6-6DE0D0D2E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2043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2016-03-11T05:44:00Z</dcterms:created>
  <dcterms:modified xsi:type="dcterms:W3CDTF">2016-03-11T05:47:00Z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283bc1c0-9079-4ac4-a84f-7745a984142d</vt:lpwstr>
  </property>
</Properties>
</file>